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BBAB" w14:textId="77777777" w:rsidR="0016727C" w:rsidRDefault="0016727C" w:rsidP="0016727C">
      <w:pPr>
        <w:jc w:val="center"/>
        <w:rPr>
          <w:rFonts w:ascii="Calibri" w:hAnsi="Calibri" w:cs="Calibri"/>
          <w:b/>
          <w:bCs/>
          <w:sz w:val="32"/>
          <w:szCs w:val="32"/>
        </w:rPr>
      </w:pPr>
    </w:p>
    <w:p w14:paraId="0DE37B19" w14:textId="77777777" w:rsidR="0016727C" w:rsidRPr="00EF6770" w:rsidRDefault="0016727C" w:rsidP="0016727C">
      <w:pPr>
        <w:jc w:val="center"/>
        <w:rPr>
          <w:rFonts w:ascii="Calibri" w:hAnsi="Calibri" w:cs="Calibri"/>
          <w:b/>
          <w:bCs/>
          <w:sz w:val="32"/>
          <w:szCs w:val="32"/>
        </w:rPr>
      </w:pPr>
      <w:r>
        <w:rPr>
          <w:rFonts w:ascii="Calibri" w:hAnsi="Calibri" w:cs="Calibri"/>
          <w:b/>
          <w:bCs/>
          <w:noProof/>
          <w:sz w:val="32"/>
          <w:szCs w:val="32"/>
        </w:rPr>
        <w:drawing>
          <wp:inline distT="0" distB="0" distL="0" distR="0" wp14:anchorId="2DD5C5D3" wp14:editId="7D12E9CB">
            <wp:extent cx="4326775" cy="1687484"/>
            <wp:effectExtent l="0" t="0" r="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26775" cy="1687484"/>
                    </a:xfrm>
                    <a:prstGeom prst="rect">
                      <a:avLst/>
                    </a:prstGeom>
                  </pic:spPr>
                </pic:pic>
              </a:graphicData>
            </a:graphic>
          </wp:inline>
        </w:drawing>
      </w:r>
    </w:p>
    <w:p w14:paraId="6AF617D1" w14:textId="77777777" w:rsidR="0016727C" w:rsidRDefault="0016727C" w:rsidP="0016727C">
      <w:pPr>
        <w:ind w:left="720" w:firstLine="720"/>
        <w:rPr>
          <w:rFonts w:ascii="Calibri" w:hAnsi="Calibri" w:cs="Calibri"/>
          <w:b/>
          <w:bCs/>
          <w:sz w:val="28"/>
          <w:szCs w:val="28"/>
        </w:rPr>
      </w:pPr>
    </w:p>
    <w:p w14:paraId="7DFC8D6E" w14:textId="77777777" w:rsidR="0016727C" w:rsidRDefault="0016727C" w:rsidP="0016727C">
      <w:pPr>
        <w:ind w:left="720" w:firstLine="720"/>
        <w:rPr>
          <w:rFonts w:ascii="Calibri" w:hAnsi="Calibri" w:cs="Calibri"/>
          <w:b/>
          <w:bCs/>
          <w:sz w:val="28"/>
          <w:szCs w:val="28"/>
        </w:rPr>
      </w:pPr>
    </w:p>
    <w:p w14:paraId="5CCAB35D" w14:textId="77777777" w:rsidR="0016727C" w:rsidRDefault="0016727C" w:rsidP="0016727C">
      <w:pPr>
        <w:rPr>
          <w:rFonts w:ascii="Calibri" w:hAnsi="Calibri" w:cs="Calibri"/>
          <w:b/>
          <w:bCs/>
          <w:sz w:val="28"/>
          <w:szCs w:val="28"/>
        </w:rPr>
      </w:pPr>
    </w:p>
    <w:p w14:paraId="674FE11B" w14:textId="77777777" w:rsidR="0016727C" w:rsidRDefault="0016727C" w:rsidP="0016727C">
      <w:pPr>
        <w:jc w:val="center"/>
        <w:rPr>
          <w:rFonts w:ascii="Calibri" w:hAnsi="Calibri" w:cs="Calibri"/>
          <w:b/>
          <w:bCs/>
          <w:sz w:val="28"/>
          <w:szCs w:val="28"/>
        </w:rPr>
      </w:pPr>
    </w:p>
    <w:p w14:paraId="1FC44BA0" w14:textId="10B62788" w:rsidR="0016727C" w:rsidRDefault="0016727C" w:rsidP="0016727C">
      <w:pPr>
        <w:jc w:val="center"/>
        <w:rPr>
          <w:rFonts w:ascii="Calibri" w:hAnsi="Calibri" w:cs="Calibri"/>
          <w:b/>
          <w:bCs/>
          <w:sz w:val="28"/>
          <w:szCs w:val="28"/>
        </w:rPr>
      </w:pPr>
      <w:r w:rsidRPr="00944433">
        <w:rPr>
          <w:rFonts w:ascii="Calibri" w:hAnsi="Calibri" w:cs="Calibri"/>
          <w:b/>
          <w:bCs/>
          <w:sz w:val="28"/>
          <w:szCs w:val="28"/>
        </w:rPr>
        <w:t>Safeguarding Adults Review (SAR)</w:t>
      </w:r>
    </w:p>
    <w:p w14:paraId="6C687A71" w14:textId="77777777" w:rsidR="0016727C" w:rsidRDefault="0016727C" w:rsidP="0016727C">
      <w:pPr>
        <w:jc w:val="center"/>
        <w:rPr>
          <w:rFonts w:cstheme="minorHAnsi"/>
          <w:b/>
          <w:bCs/>
          <w:sz w:val="28"/>
          <w:szCs w:val="28"/>
        </w:rPr>
      </w:pPr>
      <w:r w:rsidRPr="008E685D">
        <w:rPr>
          <w:rFonts w:cstheme="minorHAnsi"/>
          <w:b/>
          <w:bCs/>
          <w:sz w:val="28"/>
          <w:szCs w:val="28"/>
        </w:rPr>
        <w:t xml:space="preserve">Subject: </w:t>
      </w:r>
      <w:r>
        <w:rPr>
          <w:rFonts w:cstheme="minorHAnsi"/>
          <w:b/>
          <w:bCs/>
          <w:sz w:val="28"/>
          <w:szCs w:val="28"/>
        </w:rPr>
        <w:t>M22</w:t>
      </w:r>
    </w:p>
    <w:p w14:paraId="4057ED30" w14:textId="7079EE41" w:rsidR="0016727C" w:rsidRPr="008E685D" w:rsidRDefault="0016727C" w:rsidP="0016727C">
      <w:pPr>
        <w:jc w:val="center"/>
        <w:rPr>
          <w:rFonts w:cstheme="minorHAnsi"/>
          <w:b/>
          <w:bCs/>
          <w:sz w:val="28"/>
          <w:szCs w:val="28"/>
        </w:rPr>
      </w:pPr>
      <w:r>
        <w:rPr>
          <w:rFonts w:cstheme="minorHAnsi"/>
          <w:b/>
          <w:bCs/>
          <w:sz w:val="28"/>
          <w:szCs w:val="28"/>
        </w:rPr>
        <w:t>Final Overview Report</w:t>
      </w:r>
    </w:p>
    <w:p w14:paraId="7F2E3B68" w14:textId="77777777" w:rsidR="0016727C" w:rsidRDefault="0016727C" w:rsidP="0016727C">
      <w:pPr>
        <w:rPr>
          <w:rFonts w:ascii="Calibri" w:hAnsi="Calibri" w:cs="Calibri"/>
          <w:b/>
          <w:bCs/>
          <w:sz w:val="28"/>
          <w:szCs w:val="28"/>
        </w:rPr>
      </w:pPr>
    </w:p>
    <w:p w14:paraId="2BA9F673" w14:textId="77777777" w:rsidR="0016727C" w:rsidRPr="008E685D" w:rsidRDefault="0016727C" w:rsidP="0016727C">
      <w:pPr>
        <w:rPr>
          <w:rFonts w:ascii="Calibri" w:hAnsi="Calibri" w:cs="Calibri"/>
          <w:b/>
          <w:bCs/>
          <w:sz w:val="28"/>
          <w:szCs w:val="28"/>
        </w:rPr>
      </w:pPr>
    </w:p>
    <w:p w14:paraId="32606262" w14:textId="77777777" w:rsidR="0016727C" w:rsidRPr="002B477C" w:rsidRDefault="0016727C" w:rsidP="0016727C">
      <w:pPr>
        <w:ind w:left="1440" w:firstLine="720"/>
        <w:rPr>
          <w:rFonts w:ascii="Calibri" w:hAnsi="Calibri" w:cs="Calibri"/>
          <w:b/>
          <w:bCs/>
          <w:sz w:val="28"/>
          <w:szCs w:val="28"/>
        </w:rPr>
      </w:pPr>
      <w:r w:rsidRPr="008E685D">
        <w:rPr>
          <w:rFonts w:ascii="Calibri" w:hAnsi="Calibri" w:cs="Calibri"/>
          <w:b/>
          <w:bCs/>
          <w:sz w:val="28"/>
          <w:szCs w:val="28"/>
        </w:rPr>
        <w:t xml:space="preserve">SAR Independent Author: </w:t>
      </w:r>
      <w:r>
        <w:rPr>
          <w:rFonts w:ascii="Calibri" w:hAnsi="Calibri" w:cs="Calibri"/>
          <w:b/>
          <w:bCs/>
          <w:sz w:val="28"/>
          <w:szCs w:val="28"/>
        </w:rPr>
        <w:t>Peter Suggett</w:t>
      </w:r>
    </w:p>
    <w:p w14:paraId="36AB23D1" w14:textId="77777777" w:rsidR="0016727C" w:rsidRDefault="0016727C" w:rsidP="0016727C">
      <w:pPr>
        <w:rPr>
          <w:rFonts w:ascii="Calibri" w:hAnsi="Calibri" w:cs="Calibri"/>
          <w:sz w:val="24"/>
          <w:szCs w:val="24"/>
        </w:rPr>
      </w:pPr>
    </w:p>
    <w:p w14:paraId="5E89D713" w14:textId="77777777" w:rsidR="0016727C" w:rsidRDefault="0016727C" w:rsidP="0016727C">
      <w:pPr>
        <w:rPr>
          <w:rFonts w:ascii="Calibri" w:hAnsi="Calibri" w:cs="Calibri"/>
          <w:sz w:val="24"/>
          <w:szCs w:val="24"/>
        </w:rPr>
      </w:pPr>
    </w:p>
    <w:p w14:paraId="690CDF0C" w14:textId="133635CD" w:rsidR="0016727C" w:rsidRDefault="0016727C" w:rsidP="0016727C">
      <w:pPr>
        <w:spacing w:line="360" w:lineRule="auto"/>
        <w:rPr>
          <w:rFonts w:ascii="Calibri" w:hAnsi="Calibri" w:cs="Calibri"/>
          <w:i/>
          <w:iCs/>
          <w:sz w:val="24"/>
          <w:szCs w:val="24"/>
        </w:rPr>
      </w:pPr>
      <w:r w:rsidRPr="00150A25">
        <w:rPr>
          <w:rFonts w:ascii="Calibri" w:hAnsi="Calibri" w:cs="Calibri"/>
          <w:i/>
          <w:iCs/>
          <w:sz w:val="24"/>
          <w:szCs w:val="24"/>
        </w:rPr>
        <w:t>Nottinghamshire Safeguarding Adults Board wish</w:t>
      </w:r>
      <w:r>
        <w:rPr>
          <w:rFonts w:ascii="Calibri" w:hAnsi="Calibri" w:cs="Calibri"/>
          <w:i/>
          <w:iCs/>
          <w:sz w:val="24"/>
          <w:szCs w:val="24"/>
        </w:rPr>
        <w:t>es</w:t>
      </w:r>
      <w:r w:rsidRPr="00150A25">
        <w:rPr>
          <w:rFonts w:ascii="Calibri" w:hAnsi="Calibri" w:cs="Calibri"/>
          <w:i/>
          <w:iCs/>
          <w:sz w:val="24"/>
          <w:szCs w:val="24"/>
        </w:rPr>
        <w:t xml:space="preserve"> to place on record</w:t>
      </w:r>
      <w:r>
        <w:rPr>
          <w:rFonts w:ascii="Calibri" w:hAnsi="Calibri" w:cs="Calibri"/>
          <w:i/>
          <w:iCs/>
          <w:sz w:val="24"/>
          <w:szCs w:val="24"/>
        </w:rPr>
        <w:t xml:space="preserve"> its</w:t>
      </w:r>
      <w:r w:rsidRPr="00150A25">
        <w:rPr>
          <w:rFonts w:ascii="Calibri" w:hAnsi="Calibri" w:cs="Calibri"/>
          <w:i/>
          <w:iCs/>
          <w:sz w:val="24"/>
          <w:szCs w:val="24"/>
        </w:rPr>
        <w:t xml:space="preserve"> sincere thanks to the</w:t>
      </w:r>
      <w:r>
        <w:rPr>
          <w:rFonts w:ascii="Calibri" w:hAnsi="Calibri" w:cs="Calibri"/>
          <w:i/>
          <w:iCs/>
          <w:sz w:val="24"/>
          <w:szCs w:val="24"/>
        </w:rPr>
        <w:t xml:space="preserve"> family of </w:t>
      </w:r>
      <w:r w:rsidRPr="00150A25">
        <w:rPr>
          <w:rFonts w:ascii="Calibri" w:hAnsi="Calibri" w:cs="Calibri"/>
          <w:i/>
          <w:iCs/>
          <w:sz w:val="24"/>
          <w:szCs w:val="24"/>
        </w:rPr>
        <w:t xml:space="preserve">Adult </w:t>
      </w:r>
      <w:r>
        <w:rPr>
          <w:rFonts w:ascii="Calibri" w:hAnsi="Calibri" w:cs="Calibri"/>
          <w:i/>
          <w:iCs/>
          <w:sz w:val="24"/>
          <w:szCs w:val="24"/>
        </w:rPr>
        <w:t>M</w:t>
      </w:r>
      <w:r w:rsidRPr="00150A25">
        <w:rPr>
          <w:rFonts w:ascii="Calibri" w:hAnsi="Calibri" w:cs="Calibri"/>
          <w:i/>
          <w:iCs/>
          <w:sz w:val="24"/>
          <w:szCs w:val="24"/>
        </w:rPr>
        <w:t xml:space="preserve"> who worked closely with the Board and Independent </w:t>
      </w:r>
      <w:r>
        <w:rPr>
          <w:rFonts w:ascii="Calibri" w:hAnsi="Calibri" w:cs="Calibri"/>
          <w:i/>
          <w:iCs/>
          <w:sz w:val="24"/>
          <w:szCs w:val="24"/>
        </w:rPr>
        <w:t>R</w:t>
      </w:r>
      <w:r w:rsidRPr="00150A25">
        <w:rPr>
          <w:rFonts w:ascii="Calibri" w:hAnsi="Calibri" w:cs="Calibri"/>
          <w:i/>
          <w:iCs/>
          <w:sz w:val="24"/>
          <w:szCs w:val="24"/>
        </w:rPr>
        <w:t xml:space="preserve">eviewer and </w:t>
      </w:r>
      <w:r>
        <w:rPr>
          <w:rFonts w:ascii="Calibri" w:hAnsi="Calibri" w:cs="Calibri"/>
          <w:i/>
          <w:iCs/>
          <w:sz w:val="24"/>
          <w:szCs w:val="24"/>
        </w:rPr>
        <w:t>A</w:t>
      </w:r>
      <w:r w:rsidRPr="00150A25">
        <w:rPr>
          <w:rFonts w:ascii="Calibri" w:hAnsi="Calibri" w:cs="Calibri"/>
          <w:i/>
          <w:iCs/>
          <w:sz w:val="24"/>
          <w:szCs w:val="24"/>
        </w:rPr>
        <w:t xml:space="preserve">uthor. They provided valuable information and an insight into the life of Adult </w:t>
      </w:r>
      <w:r>
        <w:rPr>
          <w:rFonts w:ascii="Calibri" w:hAnsi="Calibri" w:cs="Calibri"/>
          <w:i/>
          <w:iCs/>
          <w:sz w:val="24"/>
          <w:szCs w:val="24"/>
        </w:rPr>
        <w:t>M</w:t>
      </w:r>
      <w:r w:rsidRPr="00150A25">
        <w:rPr>
          <w:rFonts w:ascii="Calibri" w:hAnsi="Calibri" w:cs="Calibri"/>
          <w:i/>
          <w:iCs/>
          <w:sz w:val="24"/>
          <w:szCs w:val="24"/>
        </w:rPr>
        <w:t xml:space="preserve"> which was used to help shape and inform this review. This Safeguarding Adult Review would not have been possible to undertake without the co-operation, open reflection and information supplied by those agencies who provided care and support for Adult</w:t>
      </w:r>
      <w:r>
        <w:rPr>
          <w:rFonts w:ascii="Calibri" w:hAnsi="Calibri" w:cs="Calibri"/>
          <w:i/>
          <w:iCs/>
          <w:sz w:val="24"/>
          <w:szCs w:val="24"/>
        </w:rPr>
        <w:t xml:space="preserve"> M</w:t>
      </w:r>
      <w:r w:rsidRPr="00150A25">
        <w:rPr>
          <w:rFonts w:ascii="Calibri" w:hAnsi="Calibri" w:cs="Calibri"/>
          <w:i/>
          <w:iCs/>
          <w:sz w:val="24"/>
          <w:szCs w:val="24"/>
        </w:rPr>
        <w:t xml:space="preserve">. This contributed significantly to the production of the final report and helped to identify recommendations for improvement. The input and professional support provided by the Safeguarding Adults Board </w:t>
      </w:r>
      <w:r>
        <w:rPr>
          <w:rFonts w:ascii="Calibri" w:hAnsi="Calibri" w:cs="Calibri"/>
          <w:i/>
          <w:iCs/>
          <w:sz w:val="24"/>
          <w:szCs w:val="24"/>
        </w:rPr>
        <w:t>m</w:t>
      </w:r>
      <w:r w:rsidRPr="00150A25">
        <w:rPr>
          <w:rFonts w:ascii="Calibri" w:hAnsi="Calibri" w:cs="Calibri"/>
          <w:i/>
          <w:iCs/>
          <w:sz w:val="24"/>
          <w:szCs w:val="24"/>
        </w:rPr>
        <w:t>anagers and support staff have been invaluable throughout this process.</w:t>
      </w:r>
    </w:p>
    <w:p w14:paraId="41E44289" w14:textId="4A0B7AA6" w:rsidR="0016727C" w:rsidRDefault="0016727C" w:rsidP="0016727C">
      <w:pPr>
        <w:spacing w:line="360" w:lineRule="auto"/>
        <w:rPr>
          <w:rFonts w:ascii="Calibri" w:hAnsi="Calibri" w:cs="Calibri"/>
          <w:sz w:val="36"/>
          <w:szCs w:val="36"/>
        </w:rPr>
      </w:pPr>
      <w:r>
        <w:rPr>
          <w:rFonts w:ascii="Calibri" w:hAnsi="Calibri" w:cs="Calibri"/>
          <w:sz w:val="36"/>
          <w:szCs w:val="36"/>
        </w:rPr>
        <w:lastRenderedPageBreak/>
        <w:t>Contents</w:t>
      </w:r>
    </w:p>
    <w:tbl>
      <w:tblPr>
        <w:tblStyle w:val="TableGrid"/>
        <w:tblW w:w="0" w:type="auto"/>
        <w:tblLook w:val="04A0" w:firstRow="1" w:lastRow="0" w:firstColumn="1" w:lastColumn="0" w:noHBand="0" w:noVBand="1"/>
      </w:tblPr>
      <w:tblGrid>
        <w:gridCol w:w="1129"/>
        <w:gridCol w:w="4881"/>
        <w:gridCol w:w="3006"/>
      </w:tblGrid>
      <w:tr w:rsidR="0016727C" w14:paraId="02FAF4C8" w14:textId="77777777" w:rsidTr="0016727C">
        <w:tc>
          <w:tcPr>
            <w:tcW w:w="1129" w:type="dxa"/>
          </w:tcPr>
          <w:p w14:paraId="3A444C3B" w14:textId="7347D747" w:rsidR="0016727C" w:rsidRPr="00FC7AD1" w:rsidRDefault="0016727C" w:rsidP="00FC7AD1">
            <w:pPr>
              <w:spacing w:after="120" w:line="360" w:lineRule="auto"/>
              <w:rPr>
                <w:rFonts w:ascii="Calibri" w:hAnsi="Calibri" w:cs="Calibri"/>
              </w:rPr>
            </w:pPr>
            <w:r w:rsidRPr="00FC7AD1">
              <w:rPr>
                <w:rFonts w:ascii="Calibri" w:hAnsi="Calibri" w:cs="Calibri"/>
              </w:rPr>
              <w:t>1.</w:t>
            </w:r>
          </w:p>
        </w:tc>
        <w:tc>
          <w:tcPr>
            <w:tcW w:w="4881" w:type="dxa"/>
          </w:tcPr>
          <w:p w14:paraId="692D542A" w14:textId="75874FC9" w:rsidR="00FC7AD1" w:rsidRPr="00FC7AD1" w:rsidRDefault="0016727C" w:rsidP="00FC7AD1">
            <w:pPr>
              <w:spacing w:after="120" w:line="360" w:lineRule="auto"/>
              <w:rPr>
                <w:rFonts w:ascii="Calibri" w:hAnsi="Calibri" w:cs="Calibri"/>
              </w:rPr>
            </w:pPr>
            <w:r w:rsidRPr="00FC7AD1">
              <w:rPr>
                <w:rFonts w:ascii="Calibri" w:hAnsi="Calibri" w:cs="Calibri"/>
              </w:rPr>
              <w:t>Introduction and Background</w:t>
            </w:r>
          </w:p>
        </w:tc>
        <w:tc>
          <w:tcPr>
            <w:tcW w:w="3006" w:type="dxa"/>
          </w:tcPr>
          <w:p w14:paraId="0B02BC35" w14:textId="3C2A0CB8" w:rsidR="0016727C" w:rsidRPr="00FC7AD1" w:rsidRDefault="0016727C" w:rsidP="00425557">
            <w:pPr>
              <w:spacing w:after="120" w:line="360" w:lineRule="auto"/>
              <w:jc w:val="right"/>
              <w:rPr>
                <w:rFonts w:ascii="Calibri" w:hAnsi="Calibri" w:cs="Calibri"/>
              </w:rPr>
            </w:pPr>
            <w:r w:rsidRPr="00FC7AD1">
              <w:rPr>
                <w:rFonts w:ascii="Calibri" w:hAnsi="Calibri" w:cs="Calibri"/>
              </w:rPr>
              <w:t>Page</w:t>
            </w:r>
            <w:r w:rsidR="00425557">
              <w:rPr>
                <w:rFonts w:ascii="Calibri" w:hAnsi="Calibri" w:cs="Calibri"/>
              </w:rPr>
              <w:t xml:space="preserve"> 3</w:t>
            </w:r>
          </w:p>
        </w:tc>
      </w:tr>
      <w:tr w:rsidR="0016727C" w14:paraId="5821F622" w14:textId="77777777" w:rsidTr="0016727C">
        <w:tc>
          <w:tcPr>
            <w:tcW w:w="1129" w:type="dxa"/>
          </w:tcPr>
          <w:p w14:paraId="7118B30E" w14:textId="64214CEB" w:rsidR="0016727C" w:rsidRPr="00FC7AD1" w:rsidRDefault="0016727C" w:rsidP="00FC7AD1">
            <w:pPr>
              <w:spacing w:after="120" w:line="360" w:lineRule="auto"/>
              <w:rPr>
                <w:rFonts w:ascii="Calibri" w:hAnsi="Calibri" w:cs="Calibri"/>
              </w:rPr>
            </w:pPr>
            <w:r w:rsidRPr="00FC7AD1">
              <w:rPr>
                <w:rFonts w:ascii="Calibri" w:hAnsi="Calibri" w:cs="Calibri"/>
              </w:rPr>
              <w:t>2.</w:t>
            </w:r>
          </w:p>
        </w:tc>
        <w:tc>
          <w:tcPr>
            <w:tcW w:w="4881" w:type="dxa"/>
          </w:tcPr>
          <w:p w14:paraId="5B9A15B9" w14:textId="75205C71" w:rsidR="00FC7AD1" w:rsidRPr="00FC7AD1" w:rsidRDefault="0016727C" w:rsidP="00FC7AD1">
            <w:pPr>
              <w:spacing w:after="120" w:line="360" w:lineRule="auto"/>
              <w:rPr>
                <w:rFonts w:ascii="Calibri" w:hAnsi="Calibri" w:cs="Calibri"/>
              </w:rPr>
            </w:pPr>
            <w:r w:rsidRPr="00FC7AD1">
              <w:rPr>
                <w:rFonts w:ascii="Calibri" w:hAnsi="Calibri" w:cs="Calibri"/>
              </w:rPr>
              <w:t>The Purpose of the Review</w:t>
            </w:r>
          </w:p>
        </w:tc>
        <w:tc>
          <w:tcPr>
            <w:tcW w:w="3006" w:type="dxa"/>
          </w:tcPr>
          <w:p w14:paraId="41403AF1" w14:textId="36A65D43" w:rsidR="0016727C" w:rsidRPr="00FC7AD1" w:rsidRDefault="0016727C" w:rsidP="00425557">
            <w:pPr>
              <w:spacing w:after="120" w:line="360" w:lineRule="auto"/>
              <w:jc w:val="right"/>
              <w:rPr>
                <w:rFonts w:ascii="Calibri" w:hAnsi="Calibri" w:cs="Calibri"/>
              </w:rPr>
            </w:pPr>
            <w:r w:rsidRPr="00FC7AD1">
              <w:rPr>
                <w:rFonts w:ascii="Calibri" w:hAnsi="Calibri" w:cs="Calibri"/>
              </w:rPr>
              <w:t>Page</w:t>
            </w:r>
            <w:r w:rsidR="00425557">
              <w:rPr>
                <w:rFonts w:ascii="Calibri" w:hAnsi="Calibri" w:cs="Calibri"/>
              </w:rPr>
              <w:t xml:space="preserve"> 3</w:t>
            </w:r>
          </w:p>
        </w:tc>
      </w:tr>
      <w:tr w:rsidR="0016727C" w14:paraId="799F9CFC" w14:textId="77777777" w:rsidTr="0016727C">
        <w:tc>
          <w:tcPr>
            <w:tcW w:w="1129" w:type="dxa"/>
          </w:tcPr>
          <w:p w14:paraId="18412C20" w14:textId="2372E844" w:rsidR="0016727C" w:rsidRPr="00FC7AD1" w:rsidRDefault="0016727C" w:rsidP="00FC7AD1">
            <w:pPr>
              <w:spacing w:after="120" w:line="360" w:lineRule="auto"/>
              <w:rPr>
                <w:rFonts w:ascii="Calibri" w:hAnsi="Calibri" w:cs="Calibri"/>
              </w:rPr>
            </w:pPr>
            <w:r w:rsidRPr="00FC7AD1">
              <w:rPr>
                <w:rFonts w:ascii="Calibri" w:hAnsi="Calibri" w:cs="Calibri"/>
              </w:rPr>
              <w:t>3.</w:t>
            </w:r>
          </w:p>
        </w:tc>
        <w:tc>
          <w:tcPr>
            <w:tcW w:w="4881" w:type="dxa"/>
          </w:tcPr>
          <w:p w14:paraId="174677E2" w14:textId="594EB12F" w:rsidR="00FC7AD1" w:rsidRPr="00FC7AD1" w:rsidRDefault="0016727C" w:rsidP="00FC7AD1">
            <w:pPr>
              <w:spacing w:after="120" w:line="360" w:lineRule="auto"/>
            </w:pPr>
            <w:r w:rsidRPr="00FC7AD1">
              <w:t xml:space="preserve">Methodology and </w:t>
            </w:r>
            <w:r w:rsidR="00425557">
              <w:t>P</w:t>
            </w:r>
            <w:r w:rsidRPr="00FC7AD1">
              <w:t xml:space="preserve">rocess </w:t>
            </w:r>
            <w:r w:rsidR="00425557">
              <w:t>I</w:t>
            </w:r>
            <w:r w:rsidRPr="00FC7AD1">
              <w:t xml:space="preserve">nformation </w:t>
            </w:r>
          </w:p>
        </w:tc>
        <w:tc>
          <w:tcPr>
            <w:tcW w:w="3006" w:type="dxa"/>
          </w:tcPr>
          <w:p w14:paraId="0571CBAF" w14:textId="0A972434" w:rsidR="0016727C" w:rsidRPr="00FC7AD1" w:rsidRDefault="00425557" w:rsidP="00425557">
            <w:pPr>
              <w:spacing w:after="120" w:line="360" w:lineRule="auto"/>
              <w:jc w:val="right"/>
              <w:rPr>
                <w:rFonts w:ascii="Calibri" w:hAnsi="Calibri" w:cs="Calibri"/>
              </w:rPr>
            </w:pPr>
            <w:r>
              <w:rPr>
                <w:rFonts w:ascii="Calibri" w:hAnsi="Calibri" w:cs="Calibri"/>
              </w:rPr>
              <w:t>Page 5</w:t>
            </w:r>
          </w:p>
        </w:tc>
      </w:tr>
      <w:tr w:rsidR="0016727C" w14:paraId="5E5ED200" w14:textId="77777777" w:rsidTr="0016727C">
        <w:tc>
          <w:tcPr>
            <w:tcW w:w="1129" w:type="dxa"/>
          </w:tcPr>
          <w:p w14:paraId="511FD06A" w14:textId="1B01AF48" w:rsidR="0016727C" w:rsidRPr="00FC7AD1" w:rsidRDefault="0016727C" w:rsidP="00FC7AD1">
            <w:pPr>
              <w:spacing w:after="120" w:line="360" w:lineRule="auto"/>
              <w:rPr>
                <w:rFonts w:ascii="Calibri" w:hAnsi="Calibri" w:cs="Calibri"/>
              </w:rPr>
            </w:pPr>
            <w:r w:rsidRPr="00FC7AD1">
              <w:rPr>
                <w:rFonts w:ascii="Calibri" w:hAnsi="Calibri" w:cs="Calibri"/>
              </w:rPr>
              <w:t>4.</w:t>
            </w:r>
          </w:p>
        </w:tc>
        <w:tc>
          <w:tcPr>
            <w:tcW w:w="4881" w:type="dxa"/>
          </w:tcPr>
          <w:p w14:paraId="4C8B4D8C" w14:textId="3BE05821" w:rsidR="0016727C" w:rsidRPr="00FC7AD1" w:rsidRDefault="00FC7AD1" w:rsidP="00FC7AD1">
            <w:pPr>
              <w:spacing w:after="120" w:line="360" w:lineRule="auto"/>
            </w:pPr>
            <w:r w:rsidRPr="00FC7AD1">
              <w:t>Background</w:t>
            </w:r>
          </w:p>
        </w:tc>
        <w:tc>
          <w:tcPr>
            <w:tcW w:w="3006" w:type="dxa"/>
          </w:tcPr>
          <w:p w14:paraId="172AC1F0" w14:textId="3257F51D" w:rsidR="0016727C" w:rsidRPr="00FC7AD1" w:rsidRDefault="00425557" w:rsidP="00425557">
            <w:pPr>
              <w:spacing w:after="120" w:line="360" w:lineRule="auto"/>
              <w:jc w:val="right"/>
              <w:rPr>
                <w:rFonts w:ascii="Calibri" w:hAnsi="Calibri" w:cs="Calibri"/>
              </w:rPr>
            </w:pPr>
            <w:r>
              <w:rPr>
                <w:rFonts w:ascii="Calibri" w:hAnsi="Calibri" w:cs="Calibri"/>
              </w:rPr>
              <w:t>Page 7</w:t>
            </w:r>
          </w:p>
        </w:tc>
      </w:tr>
      <w:tr w:rsidR="00FC7AD1" w14:paraId="3EE7C3CE" w14:textId="77777777" w:rsidTr="0016727C">
        <w:tc>
          <w:tcPr>
            <w:tcW w:w="1129" w:type="dxa"/>
          </w:tcPr>
          <w:p w14:paraId="564E5F4B" w14:textId="74CBC00F" w:rsidR="00FC7AD1" w:rsidRPr="00FC7AD1" w:rsidRDefault="00FC7AD1" w:rsidP="00FC7AD1">
            <w:pPr>
              <w:spacing w:after="120" w:line="360" w:lineRule="auto"/>
              <w:rPr>
                <w:rFonts w:ascii="Calibri" w:hAnsi="Calibri" w:cs="Calibri"/>
              </w:rPr>
            </w:pPr>
            <w:r w:rsidRPr="00FC7AD1">
              <w:rPr>
                <w:rFonts w:ascii="Calibri" w:hAnsi="Calibri" w:cs="Calibri"/>
              </w:rPr>
              <w:t>5.</w:t>
            </w:r>
          </w:p>
        </w:tc>
        <w:tc>
          <w:tcPr>
            <w:tcW w:w="4881" w:type="dxa"/>
          </w:tcPr>
          <w:p w14:paraId="17AA9E6F" w14:textId="2461DA51" w:rsidR="00FC7AD1" w:rsidRPr="00FC7AD1" w:rsidRDefault="00FC7AD1" w:rsidP="00FC7AD1">
            <w:pPr>
              <w:spacing w:after="120" w:line="360" w:lineRule="auto"/>
            </w:pPr>
            <w:r w:rsidRPr="00FC7AD1">
              <w:t xml:space="preserve">Summary of </w:t>
            </w:r>
            <w:r w:rsidR="00425557">
              <w:t>E</w:t>
            </w:r>
            <w:r w:rsidRPr="00FC7AD1">
              <w:t xml:space="preserve">vents and </w:t>
            </w:r>
            <w:r w:rsidR="00425557">
              <w:t>F</w:t>
            </w:r>
            <w:r w:rsidRPr="00FC7AD1">
              <w:t xml:space="preserve">indings </w:t>
            </w:r>
          </w:p>
        </w:tc>
        <w:tc>
          <w:tcPr>
            <w:tcW w:w="3006" w:type="dxa"/>
          </w:tcPr>
          <w:p w14:paraId="078CC82B" w14:textId="0DA14C87" w:rsidR="00FC7AD1" w:rsidRPr="00FC7AD1" w:rsidRDefault="00425557" w:rsidP="00425557">
            <w:pPr>
              <w:spacing w:after="120" w:line="360" w:lineRule="auto"/>
              <w:ind w:firstLine="720"/>
              <w:jc w:val="right"/>
              <w:rPr>
                <w:rFonts w:ascii="Calibri" w:hAnsi="Calibri" w:cs="Calibri"/>
              </w:rPr>
            </w:pPr>
            <w:r>
              <w:rPr>
                <w:rFonts w:ascii="Calibri" w:hAnsi="Calibri" w:cs="Calibri"/>
              </w:rPr>
              <w:t>Page 17</w:t>
            </w:r>
          </w:p>
        </w:tc>
      </w:tr>
      <w:tr w:rsidR="00FC7AD1" w14:paraId="11EA142C" w14:textId="77777777" w:rsidTr="0016727C">
        <w:tc>
          <w:tcPr>
            <w:tcW w:w="1129" w:type="dxa"/>
          </w:tcPr>
          <w:p w14:paraId="3D26F4FF" w14:textId="1CA529F9" w:rsidR="00FC7AD1" w:rsidRPr="00FC7AD1" w:rsidRDefault="00FC7AD1" w:rsidP="00FC7AD1">
            <w:pPr>
              <w:spacing w:after="120" w:line="360" w:lineRule="auto"/>
              <w:rPr>
                <w:rFonts w:ascii="Calibri" w:hAnsi="Calibri" w:cs="Calibri"/>
              </w:rPr>
            </w:pPr>
            <w:r w:rsidRPr="00FC7AD1">
              <w:rPr>
                <w:rFonts w:ascii="Calibri" w:hAnsi="Calibri" w:cs="Calibri"/>
              </w:rPr>
              <w:t>6.</w:t>
            </w:r>
          </w:p>
        </w:tc>
        <w:tc>
          <w:tcPr>
            <w:tcW w:w="4881" w:type="dxa"/>
          </w:tcPr>
          <w:p w14:paraId="1A91A138" w14:textId="6BAE2163" w:rsidR="00FC7AD1" w:rsidRPr="00FC7AD1" w:rsidRDefault="00FC7AD1" w:rsidP="00FC7AD1">
            <w:pPr>
              <w:spacing w:after="120" w:line="360" w:lineRule="auto"/>
            </w:pPr>
            <w:r w:rsidRPr="00FC7AD1">
              <w:t>Service Improvements</w:t>
            </w:r>
          </w:p>
        </w:tc>
        <w:tc>
          <w:tcPr>
            <w:tcW w:w="3006" w:type="dxa"/>
          </w:tcPr>
          <w:p w14:paraId="5FE29139" w14:textId="6FC8F631" w:rsidR="00FC7AD1" w:rsidRPr="00FC7AD1" w:rsidRDefault="00425557" w:rsidP="00425557">
            <w:pPr>
              <w:spacing w:after="120" w:line="360" w:lineRule="auto"/>
              <w:jc w:val="right"/>
              <w:rPr>
                <w:rFonts w:ascii="Calibri" w:hAnsi="Calibri" w:cs="Calibri"/>
              </w:rPr>
            </w:pPr>
            <w:r>
              <w:rPr>
                <w:rFonts w:ascii="Calibri" w:hAnsi="Calibri" w:cs="Calibri"/>
              </w:rPr>
              <w:t>Page 25</w:t>
            </w:r>
          </w:p>
        </w:tc>
      </w:tr>
      <w:tr w:rsidR="00FC7AD1" w14:paraId="340519D2" w14:textId="77777777" w:rsidTr="0016727C">
        <w:tc>
          <w:tcPr>
            <w:tcW w:w="1129" w:type="dxa"/>
          </w:tcPr>
          <w:p w14:paraId="1AF9F28A" w14:textId="4E7A296E" w:rsidR="00FC7AD1" w:rsidRPr="00FC7AD1" w:rsidRDefault="00FC7AD1" w:rsidP="00FC7AD1">
            <w:pPr>
              <w:spacing w:after="120" w:line="360" w:lineRule="auto"/>
              <w:rPr>
                <w:rFonts w:ascii="Calibri" w:hAnsi="Calibri" w:cs="Calibri"/>
              </w:rPr>
            </w:pPr>
            <w:r w:rsidRPr="00FC7AD1">
              <w:rPr>
                <w:rFonts w:ascii="Calibri" w:hAnsi="Calibri" w:cs="Calibri"/>
              </w:rPr>
              <w:t>7.</w:t>
            </w:r>
          </w:p>
        </w:tc>
        <w:tc>
          <w:tcPr>
            <w:tcW w:w="4881" w:type="dxa"/>
          </w:tcPr>
          <w:p w14:paraId="01DA5594" w14:textId="3B269752" w:rsidR="00FC7AD1" w:rsidRPr="00FC7AD1" w:rsidRDefault="00FC7AD1" w:rsidP="00FC7AD1">
            <w:pPr>
              <w:spacing w:after="120" w:line="360" w:lineRule="auto"/>
            </w:pPr>
            <w:r w:rsidRPr="00FC7AD1">
              <w:t>Recommendations</w:t>
            </w:r>
          </w:p>
        </w:tc>
        <w:tc>
          <w:tcPr>
            <w:tcW w:w="3006" w:type="dxa"/>
          </w:tcPr>
          <w:p w14:paraId="3011C025" w14:textId="56FE1B50" w:rsidR="00FC7AD1" w:rsidRPr="00FC7AD1" w:rsidRDefault="00425557" w:rsidP="00425557">
            <w:pPr>
              <w:spacing w:after="120" w:line="360" w:lineRule="auto"/>
              <w:jc w:val="right"/>
              <w:rPr>
                <w:rFonts w:ascii="Calibri" w:hAnsi="Calibri" w:cs="Calibri"/>
              </w:rPr>
            </w:pPr>
            <w:r>
              <w:rPr>
                <w:rFonts w:ascii="Calibri" w:hAnsi="Calibri" w:cs="Calibri"/>
              </w:rPr>
              <w:t>Page 27</w:t>
            </w:r>
          </w:p>
        </w:tc>
      </w:tr>
    </w:tbl>
    <w:p w14:paraId="3668D73B" w14:textId="51CE06F9" w:rsidR="0016727C" w:rsidRDefault="0016727C" w:rsidP="00FC7AD1">
      <w:pPr>
        <w:spacing w:after="120" w:line="360" w:lineRule="auto"/>
        <w:rPr>
          <w:rFonts w:ascii="Calibri" w:hAnsi="Calibri" w:cs="Calibri"/>
          <w:sz w:val="36"/>
          <w:szCs w:val="36"/>
        </w:rPr>
      </w:pPr>
    </w:p>
    <w:p w14:paraId="07A39081" w14:textId="77777777" w:rsidR="00FC7AD1" w:rsidRDefault="00FC7AD1" w:rsidP="00FC7AD1">
      <w:pPr>
        <w:spacing w:after="120" w:line="360" w:lineRule="auto"/>
        <w:rPr>
          <w:rFonts w:ascii="Calibri" w:hAnsi="Calibri" w:cs="Calibri"/>
          <w:sz w:val="36"/>
          <w:szCs w:val="36"/>
        </w:rPr>
      </w:pPr>
    </w:p>
    <w:p w14:paraId="6552EE2D" w14:textId="77777777" w:rsidR="00FC7AD1" w:rsidRDefault="00FC7AD1" w:rsidP="00FC7AD1">
      <w:pPr>
        <w:spacing w:after="120" w:line="360" w:lineRule="auto"/>
        <w:rPr>
          <w:rFonts w:ascii="Calibri" w:hAnsi="Calibri" w:cs="Calibri"/>
          <w:sz w:val="36"/>
          <w:szCs w:val="36"/>
        </w:rPr>
      </w:pPr>
    </w:p>
    <w:p w14:paraId="357DC320" w14:textId="77777777" w:rsidR="00FC7AD1" w:rsidRDefault="00FC7AD1" w:rsidP="00FC7AD1">
      <w:pPr>
        <w:spacing w:after="120" w:line="360" w:lineRule="auto"/>
        <w:rPr>
          <w:rFonts w:ascii="Calibri" w:hAnsi="Calibri" w:cs="Calibri"/>
          <w:sz w:val="36"/>
          <w:szCs w:val="36"/>
        </w:rPr>
      </w:pPr>
    </w:p>
    <w:p w14:paraId="63284502" w14:textId="77777777" w:rsidR="00FC7AD1" w:rsidRDefault="00FC7AD1" w:rsidP="00FC7AD1">
      <w:pPr>
        <w:spacing w:after="120" w:line="360" w:lineRule="auto"/>
        <w:rPr>
          <w:rFonts w:ascii="Calibri" w:hAnsi="Calibri" w:cs="Calibri"/>
          <w:sz w:val="36"/>
          <w:szCs w:val="36"/>
        </w:rPr>
      </w:pPr>
    </w:p>
    <w:p w14:paraId="7344C589" w14:textId="77777777" w:rsidR="00FC7AD1" w:rsidRDefault="00FC7AD1" w:rsidP="00FC7AD1">
      <w:pPr>
        <w:spacing w:after="120" w:line="360" w:lineRule="auto"/>
        <w:rPr>
          <w:rFonts w:ascii="Calibri" w:hAnsi="Calibri" w:cs="Calibri"/>
          <w:sz w:val="36"/>
          <w:szCs w:val="36"/>
        </w:rPr>
      </w:pPr>
    </w:p>
    <w:p w14:paraId="2EE2FC59" w14:textId="77777777" w:rsidR="00FC7AD1" w:rsidRPr="0016727C" w:rsidRDefault="00FC7AD1" w:rsidP="00FC7AD1">
      <w:pPr>
        <w:spacing w:after="120" w:line="360" w:lineRule="auto"/>
        <w:rPr>
          <w:rFonts w:ascii="Calibri" w:hAnsi="Calibri" w:cs="Calibri"/>
          <w:sz w:val="36"/>
          <w:szCs w:val="36"/>
        </w:rPr>
      </w:pPr>
    </w:p>
    <w:p w14:paraId="695184B4" w14:textId="77777777" w:rsidR="0016727C" w:rsidRDefault="0016727C" w:rsidP="00FC7AD1">
      <w:pPr>
        <w:spacing w:after="120" w:line="360" w:lineRule="auto"/>
        <w:rPr>
          <w:rFonts w:ascii="Calibri" w:hAnsi="Calibri" w:cs="Calibri"/>
          <w:i/>
          <w:iCs/>
          <w:sz w:val="24"/>
          <w:szCs w:val="24"/>
        </w:rPr>
      </w:pPr>
    </w:p>
    <w:p w14:paraId="5E887D49" w14:textId="77777777" w:rsidR="00FC7AD1" w:rsidRDefault="00FC7AD1" w:rsidP="00FC7AD1">
      <w:pPr>
        <w:spacing w:after="120" w:line="360" w:lineRule="auto"/>
        <w:rPr>
          <w:rFonts w:ascii="Calibri" w:hAnsi="Calibri" w:cs="Calibri"/>
          <w:i/>
          <w:iCs/>
          <w:sz w:val="24"/>
          <w:szCs w:val="24"/>
        </w:rPr>
      </w:pPr>
    </w:p>
    <w:p w14:paraId="3D92668C" w14:textId="77777777" w:rsidR="00FC7AD1" w:rsidRDefault="00FC7AD1" w:rsidP="00FC7AD1">
      <w:pPr>
        <w:spacing w:after="120" w:line="360" w:lineRule="auto"/>
        <w:rPr>
          <w:rFonts w:ascii="Calibri" w:hAnsi="Calibri" w:cs="Calibri"/>
          <w:i/>
          <w:iCs/>
          <w:sz w:val="24"/>
          <w:szCs w:val="24"/>
        </w:rPr>
      </w:pPr>
    </w:p>
    <w:p w14:paraId="03C7D797" w14:textId="77777777" w:rsidR="00FC7AD1" w:rsidRDefault="00FC7AD1" w:rsidP="00FC7AD1">
      <w:pPr>
        <w:spacing w:after="120" w:line="360" w:lineRule="auto"/>
        <w:rPr>
          <w:rFonts w:ascii="Calibri" w:hAnsi="Calibri" w:cs="Calibri"/>
          <w:i/>
          <w:iCs/>
          <w:sz w:val="24"/>
          <w:szCs w:val="24"/>
        </w:rPr>
      </w:pPr>
    </w:p>
    <w:p w14:paraId="207FBC40" w14:textId="77777777" w:rsidR="00FC7AD1" w:rsidRDefault="00FC7AD1" w:rsidP="00FC7AD1">
      <w:pPr>
        <w:spacing w:after="120" w:line="360" w:lineRule="auto"/>
        <w:rPr>
          <w:rFonts w:ascii="Calibri" w:hAnsi="Calibri" w:cs="Calibri"/>
          <w:i/>
          <w:iCs/>
          <w:sz w:val="24"/>
          <w:szCs w:val="24"/>
        </w:rPr>
      </w:pPr>
    </w:p>
    <w:p w14:paraId="5AAFA893" w14:textId="77777777" w:rsidR="00FC7AD1" w:rsidRDefault="00FC7AD1" w:rsidP="00FC7AD1">
      <w:pPr>
        <w:spacing w:after="120" w:line="360" w:lineRule="auto"/>
        <w:rPr>
          <w:rFonts w:ascii="Calibri" w:hAnsi="Calibri" w:cs="Calibri"/>
          <w:i/>
          <w:i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7919"/>
      </w:tblGrid>
      <w:tr w:rsidR="0016727C" w14:paraId="04AB8C68" w14:textId="77777777" w:rsidTr="00425557">
        <w:tc>
          <w:tcPr>
            <w:tcW w:w="613" w:type="pct"/>
          </w:tcPr>
          <w:p w14:paraId="10EB67D4" w14:textId="62CE17C5" w:rsidR="0016727C" w:rsidRPr="000C3AF1" w:rsidRDefault="0016727C" w:rsidP="00FC7AD1">
            <w:pPr>
              <w:spacing w:after="120" w:line="360" w:lineRule="auto"/>
              <w:rPr>
                <w:sz w:val="36"/>
                <w:szCs w:val="36"/>
              </w:rPr>
            </w:pPr>
            <w:r w:rsidRPr="000C3AF1">
              <w:rPr>
                <w:sz w:val="36"/>
                <w:szCs w:val="36"/>
              </w:rPr>
              <w:lastRenderedPageBreak/>
              <w:t>1</w:t>
            </w:r>
          </w:p>
        </w:tc>
        <w:tc>
          <w:tcPr>
            <w:tcW w:w="4387" w:type="pct"/>
          </w:tcPr>
          <w:p w14:paraId="7F94A5DA" w14:textId="1FE2E439" w:rsidR="0016727C" w:rsidRPr="000C3AF1" w:rsidRDefault="0016727C" w:rsidP="00FC7AD1">
            <w:pPr>
              <w:spacing w:after="120" w:line="360" w:lineRule="auto"/>
              <w:rPr>
                <w:sz w:val="36"/>
                <w:szCs w:val="36"/>
              </w:rPr>
            </w:pPr>
            <w:r w:rsidRPr="000C3AF1">
              <w:rPr>
                <w:sz w:val="36"/>
                <w:szCs w:val="36"/>
              </w:rPr>
              <w:t xml:space="preserve">Introduction and Background </w:t>
            </w:r>
          </w:p>
        </w:tc>
      </w:tr>
      <w:tr w:rsidR="0016727C" w14:paraId="66C74B3F" w14:textId="77777777" w:rsidTr="00425557">
        <w:tc>
          <w:tcPr>
            <w:tcW w:w="613" w:type="pct"/>
          </w:tcPr>
          <w:p w14:paraId="44361260" w14:textId="77777777" w:rsidR="0016727C" w:rsidRPr="007F4199" w:rsidRDefault="0016727C" w:rsidP="00FC7AD1">
            <w:pPr>
              <w:spacing w:after="120" w:line="360" w:lineRule="auto"/>
            </w:pPr>
            <w:r>
              <w:t>1.1</w:t>
            </w:r>
          </w:p>
        </w:tc>
        <w:tc>
          <w:tcPr>
            <w:tcW w:w="4387" w:type="pct"/>
          </w:tcPr>
          <w:p w14:paraId="696BC73C" w14:textId="77777777" w:rsidR="0016727C" w:rsidRPr="007F4199" w:rsidRDefault="0016727C" w:rsidP="00FC7AD1">
            <w:pPr>
              <w:spacing w:after="120" w:line="360" w:lineRule="auto"/>
            </w:pPr>
            <w:r w:rsidRPr="007F4199">
              <w:t xml:space="preserve">Section 44 of the Care Act 2014 places a statutory responsibility on Safeguarding Adult Boards’ (SAB) to conduct a </w:t>
            </w:r>
            <w:r>
              <w:t>Safeguarding Adult Review (</w:t>
            </w:r>
            <w:r w:rsidRPr="007F4199">
              <w:t>SAR</w:t>
            </w:r>
            <w:r>
              <w:t>)</w:t>
            </w:r>
            <w:r w:rsidRPr="007F4199">
              <w:t xml:space="preserve"> into certain cases under certain circumstances. A SAB is required to arrange a Review where there is reasonable cause for concern about how the SAB, and its members or some other person with relevant functions involved in the case worked together and</w:t>
            </w:r>
            <w:r>
              <w:t>,</w:t>
            </w:r>
            <w:r w:rsidRPr="007F4199">
              <w:t xml:space="preserve"> either the adult at risk died and the SAB knows or suspects that the death resulted from abuse or neglect. Or, the adult is alive, and the SAB knows or suspects that they experienced serious abuse or neglect.</w:t>
            </w:r>
          </w:p>
        </w:tc>
      </w:tr>
      <w:tr w:rsidR="0016727C" w14:paraId="1E3F24C5" w14:textId="77777777" w:rsidTr="00425557">
        <w:tc>
          <w:tcPr>
            <w:tcW w:w="613" w:type="pct"/>
          </w:tcPr>
          <w:p w14:paraId="069E92CC" w14:textId="77777777" w:rsidR="0016727C" w:rsidRDefault="0016727C" w:rsidP="00FC7AD1">
            <w:pPr>
              <w:spacing w:after="120" w:line="360" w:lineRule="auto"/>
            </w:pPr>
            <w:r>
              <w:t>1.2</w:t>
            </w:r>
          </w:p>
        </w:tc>
        <w:tc>
          <w:tcPr>
            <w:tcW w:w="4387" w:type="pct"/>
          </w:tcPr>
          <w:p w14:paraId="170B0EB0" w14:textId="5E5A29DC" w:rsidR="0016727C" w:rsidRDefault="0016727C" w:rsidP="00FC7AD1">
            <w:pPr>
              <w:spacing w:after="120" w:line="360" w:lineRule="auto"/>
            </w:pPr>
            <w:r>
              <w:t>The Nottinghamshire County Council Safeguarding Adult Board has accepted the request for a Safeguarding Adult Review (SAR) to be conducted into the circumstances surrounding the death on 10</w:t>
            </w:r>
            <w:r w:rsidRPr="00164FC1">
              <w:rPr>
                <w:vertAlign w:val="superscript"/>
              </w:rPr>
              <w:t>th</w:t>
            </w:r>
            <w:r>
              <w:t xml:space="preserve"> April 2022 at Kings Mill Hospital, Nottinghamshire of Mr M22. At the time of his death Mr M22 was 44 years of age</w:t>
            </w:r>
            <w:r w:rsidRPr="008D3F0E">
              <w:t>.</w:t>
            </w:r>
          </w:p>
        </w:tc>
      </w:tr>
      <w:tr w:rsidR="0016727C" w14:paraId="72DD7B4D" w14:textId="77777777" w:rsidTr="00425557">
        <w:tc>
          <w:tcPr>
            <w:tcW w:w="613" w:type="pct"/>
          </w:tcPr>
          <w:p w14:paraId="77726132" w14:textId="77777777" w:rsidR="0016727C" w:rsidRDefault="0016727C" w:rsidP="00FC7AD1">
            <w:pPr>
              <w:spacing w:after="120" w:line="360" w:lineRule="auto"/>
            </w:pPr>
            <w:r>
              <w:t>1.3</w:t>
            </w:r>
          </w:p>
        </w:tc>
        <w:tc>
          <w:tcPr>
            <w:tcW w:w="4387" w:type="pct"/>
          </w:tcPr>
          <w:p w14:paraId="06A4C798" w14:textId="77777777" w:rsidR="0016727C" w:rsidRDefault="0016727C" w:rsidP="00FC7AD1">
            <w:pPr>
              <w:spacing w:after="120" w:line="360" w:lineRule="auto"/>
            </w:pPr>
            <w:r>
              <w:t xml:space="preserve">The SAR panel agreed that the situation met the Care Act Safeguarding criteria for a SAR; specifically, the criteria that procedures may have failed and that the case gave rise to serious concerns about the way in which local professionals and/or services work together to safeguard adults at risk. </w:t>
            </w:r>
          </w:p>
          <w:p w14:paraId="10B1A384" w14:textId="77777777" w:rsidR="00425557" w:rsidRDefault="00425557" w:rsidP="00FC7AD1">
            <w:pPr>
              <w:spacing w:after="120" w:line="360" w:lineRule="auto"/>
            </w:pPr>
          </w:p>
          <w:p w14:paraId="13A66E2D" w14:textId="4404BDE1" w:rsidR="00425557" w:rsidRDefault="00425557" w:rsidP="00FC7AD1">
            <w:pPr>
              <w:spacing w:after="120" w:line="360" w:lineRule="auto"/>
            </w:pPr>
          </w:p>
        </w:tc>
      </w:tr>
      <w:tr w:rsidR="0016727C" w14:paraId="3FA386AE" w14:textId="77777777" w:rsidTr="00425557">
        <w:tc>
          <w:tcPr>
            <w:tcW w:w="613" w:type="pct"/>
          </w:tcPr>
          <w:p w14:paraId="35D039B3" w14:textId="77777777" w:rsidR="0016727C" w:rsidRPr="000C3AF1" w:rsidRDefault="0016727C" w:rsidP="00FC7AD1">
            <w:pPr>
              <w:spacing w:after="120" w:line="360" w:lineRule="auto"/>
              <w:rPr>
                <w:sz w:val="36"/>
                <w:szCs w:val="36"/>
              </w:rPr>
            </w:pPr>
            <w:r w:rsidRPr="000C3AF1">
              <w:rPr>
                <w:sz w:val="36"/>
                <w:szCs w:val="36"/>
              </w:rPr>
              <w:t>2</w:t>
            </w:r>
          </w:p>
        </w:tc>
        <w:tc>
          <w:tcPr>
            <w:tcW w:w="4387" w:type="pct"/>
          </w:tcPr>
          <w:p w14:paraId="5E0D4F2E" w14:textId="1B816C11" w:rsidR="0016727C" w:rsidRPr="000C3AF1" w:rsidRDefault="0016727C" w:rsidP="00FC7AD1">
            <w:pPr>
              <w:spacing w:after="120" w:line="360" w:lineRule="auto"/>
              <w:rPr>
                <w:sz w:val="36"/>
                <w:szCs w:val="36"/>
              </w:rPr>
            </w:pPr>
            <w:r w:rsidRPr="000C3AF1">
              <w:rPr>
                <w:sz w:val="36"/>
                <w:szCs w:val="36"/>
              </w:rPr>
              <w:t xml:space="preserve">The </w:t>
            </w:r>
            <w:r w:rsidR="00425557">
              <w:rPr>
                <w:sz w:val="36"/>
                <w:szCs w:val="36"/>
              </w:rPr>
              <w:t>P</w:t>
            </w:r>
            <w:r w:rsidRPr="000C3AF1">
              <w:rPr>
                <w:sz w:val="36"/>
                <w:szCs w:val="36"/>
              </w:rPr>
              <w:t xml:space="preserve">urpose of the </w:t>
            </w:r>
            <w:r w:rsidR="00425557">
              <w:rPr>
                <w:sz w:val="36"/>
                <w:szCs w:val="36"/>
              </w:rPr>
              <w:t>R</w:t>
            </w:r>
            <w:r w:rsidRPr="000C3AF1">
              <w:rPr>
                <w:sz w:val="36"/>
                <w:szCs w:val="36"/>
              </w:rPr>
              <w:t xml:space="preserve">eview </w:t>
            </w:r>
          </w:p>
        </w:tc>
      </w:tr>
      <w:tr w:rsidR="0016727C" w14:paraId="375B7CBF" w14:textId="77777777" w:rsidTr="00425557">
        <w:tc>
          <w:tcPr>
            <w:tcW w:w="613" w:type="pct"/>
          </w:tcPr>
          <w:p w14:paraId="7F729B6C" w14:textId="77777777" w:rsidR="0016727C" w:rsidRDefault="0016727C" w:rsidP="00FC7AD1">
            <w:pPr>
              <w:spacing w:after="120" w:line="360" w:lineRule="auto"/>
            </w:pPr>
            <w:r>
              <w:t>2.1</w:t>
            </w:r>
          </w:p>
        </w:tc>
        <w:tc>
          <w:tcPr>
            <w:tcW w:w="4387" w:type="pct"/>
          </w:tcPr>
          <w:p w14:paraId="6AC172BF" w14:textId="77777777" w:rsidR="0016727C" w:rsidRPr="00B045FD" w:rsidRDefault="0016727C" w:rsidP="00FC7AD1">
            <w:pPr>
              <w:numPr>
                <w:ilvl w:val="0"/>
                <w:numId w:val="10"/>
              </w:numPr>
              <w:spacing w:after="120" w:line="360" w:lineRule="auto"/>
              <w:ind w:left="569"/>
              <w:textAlignment w:val="center"/>
              <w:rPr>
                <w:rFonts w:cs="Calibri"/>
                <w:sz w:val="22"/>
                <w:szCs w:val="22"/>
              </w:rPr>
            </w:pPr>
            <w:r w:rsidRPr="00B045FD">
              <w:rPr>
                <w:rFonts w:cs="Calibri"/>
              </w:rPr>
              <w:t xml:space="preserve">Establish what lessons can be learned from the circumstances of the </w:t>
            </w:r>
            <w:proofErr w:type="gramStart"/>
            <w:r w:rsidRPr="00B045FD">
              <w:rPr>
                <w:rFonts w:cs="Calibri"/>
              </w:rPr>
              <w:t>case</w:t>
            </w:r>
            <w:proofErr w:type="gramEnd"/>
          </w:p>
          <w:p w14:paraId="1A5BF49D" w14:textId="77777777" w:rsidR="0016727C" w:rsidRPr="00B045FD" w:rsidRDefault="0016727C" w:rsidP="00FC7AD1">
            <w:pPr>
              <w:numPr>
                <w:ilvl w:val="0"/>
                <w:numId w:val="10"/>
              </w:numPr>
              <w:spacing w:after="120" w:line="360" w:lineRule="auto"/>
              <w:ind w:left="569"/>
              <w:textAlignment w:val="center"/>
              <w:rPr>
                <w:rFonts w:cs="Calibri"/>
                <w:sz w:val="22"/>
                <w:szCs w:val="22"/>
              </w:rPr>
            </w:pPr>
            <w:r w:rsidRPr="00B045FD">
              <w:rPr>
                <w:rFonts w:cs="Calibri"/>
              </w:rPr>
              <w:t xml:space="preserve">Review the effectiveness of the procedures and processes of the agencies </w:t>
            </w:r>
            <w:proofErr w:type="gramStart"/>
            <w:r w:rsidRPr="00B045FD">
              <w:rPr>
                <w:rFonts w:cs="Calibri"/>
              </w:rPr>
              <w:t>involved</w:t>
            </w:r>
            <w:proofErr w:type="gramEnd"/>
            <w:r w:rsidRPr="00B045FD">
              <w:rPr>
                <w:rFonts w:cs="Calibri"/>
              </w:rPr>
              <w:t xml:space="preserve"> </w:t>
            </w:r>
          </w:p>
          <w:p w14:paraId="54C3DBBD" w14:textId="77777777" w:rsidR="0016727C" w:rsidRPr="00B045FD" w:rsidRDefault="0016727C" w:rsidP="00FC7AD1">
            <w:pPr>
              <w:numPr>
                <w:ilvl w:val="0"/>
                <w:numId w:val="10"/>
              </w:numPr>
              <w:spacing w:after="120" w:line="360" w:lineRule="auto"/>
              <w:ind w:left="569"/>
              <w:textAlignment w:val="center"/>
              <w:rPr>
                <w:rFonts w:cs="Calibri"/>
                <w:sz w:val="22"/>
                <w:szCs w:val="22"/>
              </w:rPr>
            </w:pPr>
            <w:r w:rsidRPr="00B045FD">
              <w:rPr>
                <w:rFonts w:cs="Calibri"/>
              </w:rPr>
              <w:t xml:space="preserve">Analyse how organisations work </w:t>
            </w:r>
            <w:proofErr w:type="gramStart"/>
            <w:r w:rsidRPr="00B045FD">
              <w:rPr>
                <w:rFonts w:cs="Calibri"/>
              </w:rPr>
              <w:t>together</w:t>
            </w:r>
            <w:proofErr w:type="gramEnd"/>
            <w:r w:rsidRPr="00B045FD">
              <w:rPr>
                <w:rFonts w:cs="Calibri"/>
              </w:rPr>
              <w:t xml:space="preserve"> </w:t>
            </w:r>
          </w:p>
          <w:p w14:paraId="78D1BE0B" w14:textId="77777777" w:rsidR="0016727C" w:rsidRPr="00B045FD" w:rsidRDefault="0016727C" w:rsidP="00FC7AD1">
            <w:pPr>
              <w:numPr>
                <w:ilvl w:val="0"/>
                <w:numId w:val="10"/>
              </w:numPr>
              <w:spacing w:after="120" w:line="360" w:lineRule="auto"/>
              <w:ind w:left="569"/>
              <w:textAlignment w:val="center"/>
              <w:rPr>
                <w:rFonts w:cs="Calibri"/>
                <w:sz w:val="22"/>
                <w:szCs w:val="22"/>
              </w:rPr>
            </w:pPr>
            <w:r w:rsidRPr="00B045FD">
              <w:rPr>
                <w:rFonts w:cs="Calibri"/>
              </w:rPr>
              <w:lastRenderedPageBreak/>
              <w:t xml:space="preserve">Analyse and expand upon the findings of the various </w:t>
            </w:r>
            <w:proofErr w:type="gramStart"/>
            <w:r w:rsidRPr="00B045FD">
              <w:rPr>
                <w:rFonts w:cs="Calibri"/>
              </w:rPr>
              <w:t>reports</w:t>
            </w:r>
            <w:proofErr w:type="gramEnd"/>
            <w:r w:rsidRPr="00B045FD">
              <w:rPr>
                <w:rFonts w:cs="Calibri"/>
              </w:rPr>
              <w:t xml:space="preserve"> </w:t>
            </w:r>
          </w:p>
          <w:p w14:paraId="2174AAC7" w14:textId="77777777" w:rsidR="0016727C" w:rsidRPr="00B045FD" w:rsidRDefault="0016727C" w:rsidP="00FC7AD1">
            <w:pPr>
              <w:numPr>
                <w:ilvl w:val="0"/>
                <w:numId w:val="10"/>
              </w:numPr>
              <w:spacing w:after="120" w:line="360" w:lineRule="auto"/>
              <w:ind w:left="569"/>
              <w:textAlignment w:val="center"/>
              <w:rPr>
                <w:rFonts w:cs="Calibri"/>
                <w:sz w:val="22"/>
                <w:szCs w:val="22"/>
              </w:rPr>
            </w:pPr>
            <w:r w:rsidRPr="00B045FD">
              <w:rPr>
                <w:rFonts w:cs="Calibri"/>
              </w:rPr>
              <w:t xml:space="preserve">Commission a final report that will collate the above and make effective recommendations for change; be that to culture, procedures, processes or </w:t>
            </w:r>
            <w:proofErr w:type="gramStart"/>
            <w:r w:rsidRPr="00B045FD">
              <w:rPr>
                <w:rFonts w:cs="Calibri"/>
              </w:rPr>
              <w:t>policy</w:t>
            </w:r>
            <w:proofErr w:type="gramEnd"/>
          </w:p>
          <w:p w14:paraId="07648BFF" w14:textId="5A0A8418" w:rsidR="0016727C" w:rsidRPr="00FC7AD1" w:rsidRDefault="0016727C" w:rsidP="00FC7AD1">
            <w:pPr>
              <w:numPr>
                <w:ilvl w:val="0"/>
                <w:numId w:val="10"/>
              </w:numPr>
              <w:spacing w:after="120" w:line="360" w:lineRule="auto"/>
              <w:ind w:left="569"/>
              <w:textAlignment w:val="center"/>
              <w:rPr>
                <w:rFonts w:cs="Calibri"/>
                <w:sz w:val="22"/>
                <w:szCs w:val="22"/>
              </w:rPr>
            </w:pPr>
            <w:r w:rsidRPr="00B045FD">
              <w:rPr>
                <w:rFonts w:cs="Calibri"/>
              </w:rPr>
              <w:t xml:space="preserve">Facilitate a </w:t>
            </w:r>
            <w:proofErr w:type="gramStart"/>
            <w:r w:rsidRPr="00B045FD">
              <w:rPr>
                <w:rFonts w:cs="Calibri"/>
              </w:rPr>
              <w:t>practitioners</w:t>
            </w:r>
            <w:proofErr w:type="gramEnd"/>
            <w:r w:rsidRPr="00B045FD">
              <w:rPr>
                <w:rFonts w:cs="Calibri"/>
              </w:rPr>
              <w:t xml:space="preserve"> event to enable professionals to review the findings of the SAR and identify ways in which the recommendations can be developed and implemented  </w:t>
            </w:r>
          </w:p>
        </w:tc>
      </w:tr>
      <w:tr w:rsidR="0016727C" w14:paraId="4BFC350D" w14:textId="77777777" w:rsidTr="00425557">
        <w:tc>
          <w:tcPr>
            <w:tcW w:w="613" w:type="pct"/>
          </w:tcPr>
          <w:p w14:paraId="4BCD6D53" w14:textId="77777777" w:rsidR="0016727C" w:rsidRDefault="0016727C" w:rsidP="00FC7AD1">
            <w:pPr>
              <w:spacing w:after="120" w:line="360" w:lineRule="auto"/>
            </w:pPr>
            <w:r>
              <w:lastRenderedPageBreak/>
              <w:t>2.2</w:t>
            </w:r>
          </w:p>
        </w:tc>
        <w:tc>
          <w:tcPr>
            <w:tcW w:w="4387" w:type="pct"/>
          </w:tcPr>
          <w:p w14:paraId="3416064B" w14:textId="57213B0E" w:rsidR="0016727C" w:rsidRDefault="0016727C" w:rsidP="00FC7AD1">
            <w:pPr>
              <w:spacing w:after="120" w:line="360" w:lineRule="auto"/>
            </w:pPr>
            <w:r>
              <w:t>This specific SAR is to consider if or how organisations, individually and collectively, may have worked better to correctly assess the needs of Mr M22 whilst he was receiving treatment in the weeks and months prior to his death on 10</w:t>
            </w:r>
            <w:r w:rsidRPr="00CE55C4">
              <w:rPr>
                <w:vertAlign w:val="superscript"/>
              </w:rPr>
              <w:t>th</w:t>
            </w:r>
            <w:r>
              <w:t xml:space="preserve"> April 2022. </w:t>
            </w:r>
          </w:p>
        </w:tc>
      </w:tr>
      <w:tr w:rsidR="0016727C" w14:paraId="5C6086B1" w14:textId="77777777" w:rsidTr="00425557">
        <w:tc>
          <w:tcPr>
            <w:tcW w:w="613" w:type="pct"/>
          </w:tcPr>
          <w:p w14:paraId="258C0A57" w14:textId="77777777" w:rsidR="0016727C" w:rsidRDefault="0016727C" w:rsidP="00FC7AD1">
            <w:pPr>
              <w:spacing w:after="120" w:line="360" w:lineRule="auto"/>
            </w:pPr>
            <w:r>
              <w:t>2.3</w:t>
            </w:r>
          </w:p>
        </w:tc>
        <w:tc>
          <w:tcPr>
            <w:tcW w:w="4387" w:type="pct"/>
          </w:tcPr>
          <w:p w14:paraId="1F6AB9A4" w14:textId="30E36167" w:rsidR="0016727C" w:rsidRDefault="0016727C" w:rsidP="00FC7AD1">
            <w:pPr>
              <w:spacing w:after="120" w:line="360" w:lineRule="auto"/>
            </w:pPr>
            <w:r>
              <w:t xml:space="preserve">The SAR will also consider the effectiveness of the Carers assessment completed as part of his needs assessment. Was it correctly undertaken and evaluated and was Mr M22’s son an appropriate person to act as his </w:t>
            </w:r>
            <w:proofErr w:type="spellStart"/>
            <w:r>
              <w:t>carer</w:t>
            </w:r>
            <w:proofErr w:type="spellEnd"/>
            <w:r>
              <w:t>?</w:t>
            </w:r>
          </w:p>
        </w:tc>
      </w:tr>
      <w:tr w:rsidR="0016727C" w14:paraId="62FD8E65" w14:textId="77777777" w:rsidTr="00425557">
        <w:tc>
          <w:tcPr>
            <w:tcW w:w="613" w:type="pct"/>
          </w:tcPr>
          <w:p w14:paraId="7E1C2464" w14:textId="77777777" w:rsidR="0016727C" w:rsidRDefault="0016727C" w:rsidP="00FC7AD1">
            <w:pPr>
              <w:spacing w:after="120" w:line="360" w:lineRule="auto"/>
            </w:pPr>
            <w:r>
              <w:t>2.4</w:t>
            </w:r>
          </w:p>
        </w:tc>
        <w:tc>
          <w:tcPr>
            <w:tcW w:w="4387" w:type="pct"/>
          </w:tcPr>
          <w:p w14:paraId="40D914BE" w14:textId="1E1C73AD" w:rsidR="0016727C" w:rsidRDefault="0016727C" w:rsidP="00FC7AD1">
            <w:pPr>
              <w:spacing w:after="120" w:line="360" w:lineRule="auto"/>
            </w:pPr>
            <w:r>
              <w:t>Finally, the SAR will consider, based upon responses from the organisations involved, if there are gaps in the service delivery for adults which can be identified from this case.</w:t>
            </w:r>
          </w:p>
        </w:tc>
      </w:tr>
      <w:tr w:rsidR="0016727C" w14:paraId="0C307A5C" w14:textId="77777777" w:rsidTr="00425557">
        <w:tc>
          <w:tcPr>
            <w:tcW w:w="613" w:type="pct"/>
          </w:tcPr>
          <w:p w14:paraId="344C9C92" w14:textId="77777777" w:rsidR="0016727C" w:rsidRDefault="0016727C" w:rsidP="00FC7AD1">
            <w:pPr>
              <w:spacing w:after="120" w:line="360" w:lineRule="auto"/>
            </w:pPr>
            <w:r>
              <w:t>2.5</w:t>
            </w:r>
          </w:p>
        </w:tc>
        <w:tc>
          <w:tcPr>
            <w:tcW w:w="4387" w:type="pct"/>
          </w:tcPr>
          <w:p w14:paraId="7A1F6BBF" w14:textId="77777777" w:rsidR="0016727C" w:rsidRDefault="0016727C" w:rsidP="00FC7AD1">
            <w:pPr>
              <w:spacing w:after="120" w:line="360" w:lineRule="auto"/>
            </w:pPr>
            <w:r>
              <w:t xml:space="preserve">Partner reports were received from each of the organisations involved, a template was provided which included the following details: </w:t>
            </w:r>
          </w:p>
          <w:p w14:paraId="0E305381" w14:textId="77777777" w:rsidR="0016727C" w:rsidRPr="00425557"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t xml:space="preserve">Full chronology </w:t>
            </w:r>
          </w:p>
          <w:p w14:paraId="7818EC43" w14:textId="77777777" w:rsidR="0016727C" w:rsidRPr="00425557"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t>A narrative of service involvement- between the dates of 2019 and 10</w:t>
            </w:r>
            <w:r w:rsidRPr="00425557">
              <w:rPr>
                <w:rFonts w:eastAsiaTheme="minorEastAsia"/>
                <w:sz w:val="24"/>
                <w:szCs w:val="24"/>
                <w:vertAlign w:val="superscript"/>
              </w:rPr>
              <w:t>th</w:t>
            </w:r>
            <w:r w:rsidRPr="00425557">
              <w:rPr>
                <w:rFonts w:eastAsiaTheme="minorEastAsia"/>
                <w:sz w:val="24"/>
                <w:szCs w:val="24"/>
              </w:rPr>
              <w:t xml:space="preserve"> April 2021.</w:t>
            </w:r>
          </w:p>
          <w:p w14:paraId="22486593" w14:textId="77777777" w:rsidR="0016727C" w:rsidRPr="00425557"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t xml:space="preserve">A description of the specific service provided to Mr M22 between those dates. </w:t>
            </w:r>
          </w:p>
          <w:p w14:paraId="5A1202E8" w14:textId="77777777" w:rsidR="0016727C" w:rsidRPr="00425557"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t>Any significant factors which impacted upon the actions or decisions taken.</w:t>
            </w:r>
          </w:p>
          <w:p w14:paraId="0D7DF9CD" w14:textId="77777777" w:rsidR="0016727C" w:rsidRPr="00425557"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t xml:space="preserve">An evaluation of how services were delivered to Mr M22. </w:t>
            </w:r>
          </w:p>
          <w:p w14:paraId="4BA7E8D4" w14:textId="77777777" w:rsidR="0016727C" w:rsidRPr="00425557"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t xml:space="preserve">Lessons learned including a judgement of the level of service received when compared against policy, </w:t>
            </w:r>
            <w:proofErr w:type="gramStart"/>
            <w:r w:rsidRPr="00425557">
              <w:rPr>
                <w:rFonts w:eastAsiaTheme="minorEastAsia"/>
                <w:sz w:val="24"/>
                <w:szCs w:val="24"/>
              </w:rPr>
              <w:t>procedure</w:t>
            </w:r>
            <w:proofErr w:type="gramEnd"/>
            <w:r w:rsidRPr="00425557">
              <w:rPr>
                <w:rFonts w:eastAsiaTheme="minorEastAsia"/>
                <w:sz w:val="24"/>
                <w:szCs w:val="24"/>
              </w:rPr>
              <w:t xml:space="preserve"> and practice standard.</w:t>
            </w:r>
          </w:p>
          <w:p w14:paraId="248C0830" w14:textId="77777777" w:rsidR="0016727C" w:rsidRDefault="0016727C" w:rsidP="00425557">
            <w:pPr>
              <w:pStyle w:val="ListParagraph"/>
              <w:numPr>
                <w:ilvl w:val="0"/>
                <w:numId w:val="19"/>
              </w:numPr>
              <w:spacing w:after="120" w:line="360" w:lineRule="auto"/>
              <w:rPr>
                <w:rFonts w:eastAsiaTheme="minorEastAsia"/>
                <w:sz w:val="24"/>
                <w:szCs w:val="24"/>
              </w:rPr>
            </w:pPr>
            <w:r w:rsidRPr="00425557">
              <w:rPr>
                <w:rFonts w:eastAsiaTheme="minorEastAsia"/>
                <w:sz w:val="24"/>
                <w:szCs w:val="24"/>
              </w:rPr>
              <w:lastRenderedPageBreak/>
              <w:t xml:space="preserve">Recommendations for action. </w:t>
            </w:r>
          </w:p>
          <w:p w14:paraId="34424DCD" w14:textId="77777777" w:rsidR="00425557" w:rsidRDefault="00425557" w:rsidP="00425557">
            <w:pPr>
              <w:spacing w:after="120" w:line="360" w:lineRule="auto"/>
              <w:ind w:left="360"/>
            </w:pPr>
          </w:p>
          <w:p w14:paraId="4AD944C8" w14:textId="448E83B9" w:rsidR="00425557" w:rsidRPr="00425557" w:rsidRDefault="00425557" w:rsidP="00425557">
            <w:pPr>
              <w:spacing w:after="120" w:line="360" w:lineRule="auto"/>
              <w:ind w:left="360"/>
            </w:pPr>
          </w:p>
        </w:tc>
      </w:tr>
      <w:tr w:rsidR="0016727C" w14:paraId="5FA6EB9A" w14:textId="77777777" w:rsidTr="00425557">
        <w:tc>
          <w:tcPr>
            <w:tcW w:w="613" w:type="pct"/>
          </w:tcPr>
          <w:p w14:paraId="3AD2DCC3" w14:textId="77777777" w:rsidR="0016727C" w:rsidRPr="000C3AF1" w:rsidRDefault="0016727C" w:rsidP="00FC7AD1">
            <w:pPr>
              <w:spacing w:after="120" w:line="360" w:lineRule="auto"/>
              <w:rPr>
                <w:sz w:val="36"/>
                <w:szCs w:val="36"/>
              </w:rPr>
            </w:pPr>
            <w:r w:rsidRPr="000C3AF1">
              <w:rPr>
                <w:sz w:val="36"/>
                <w:szCs w:val="36"/>
              </w:rPr>
              <w:lastRenderedPageBreak/>
              <w:t>3</w:t>
            </w:r>
          </w:p>
        </w:tc>
        <w:tc>
          <w:tcPr>
            <w:tcW w:w="4387" w:type="pct"/>
          </w:tcPr>
          <w:p w14:paraId="3495533C" w14:textId="3C46E6EF" w:rsidR="0016727C" w:rsidRPr="000C3AF1" w:rsidRDefault="0016727C" w:rsidP="00FC7AD1">
            <w:pPr>
              <w:spacing w:after="120" w:line="360" w:lineRule="auto"/>
              <w:rPr>
                <w:sz w:val="36"/>
                <w:szCs w:val="36"/>
              </w:rPr>
            </w:pPr>
            <w:r w:rsidRPr="000C3AF1">
              <w:rPr>
                <w:sz w:val="36"/>
                <w:szCs w:val="36"/>
              </w:rPr>
              <w:t xml:space="preserve">Methodology and </w:t>
            </w:r>
            <w:r w:rsidR="00425557">
              <w:rPr>
                <w:sz w:val="36"/>
                <w:szCs w:val="36"/>
              </w:rPr>
              <w:t>P</w:t>
            </w:r>
            <w:r w:rsidRPr="000C3AF1">
              <w:rPr>
                <w:sz w:val="36"/>
                <w:szCs w:val="36"/>
              </w:rPr>
              <w:t xml:space="preserve">rocess </w:t>
            </w:r>
            <w:r w:rsidR="00425557">
              <w:rPr>
                <w:sz w:val="36"/>
                <w:szCs w:val="36"/>
              </w:rPr>
              <w:t>I</w:t>
            </w:r>
            <w:r w:rsidRPr="000C3AF1">
              <w:rPr>
                <w:sz w:val="36"/>
                <w:szCs w:val="36"/>
              </w:rPr>
              <w:t xml:space="preserve">nformation </w:t>
            </w:r>
          </w:p>
        </w:tc>
      </w:tr>
      <w:tr w:rsidR="0016727C" w14:paraId="42681732" w14:textId="77777777" w:rsidTr="00425557">
        <w:tc>
          <w:tcPr>
            <w:tcW w:w="613" w:type="pct"/>
          </w:tcPr>
          <w:p w14:paraId="21A965BD" w14:textId="77777777" w:rsidR="0016727C" w:rsidRDefault="0016727C" w:rsidP="00FC7AD1">
            <w:pPr>
              <w:spacing w:after="120" w:line="360" w:lineRule="auto"/>
            </w:pPr>
            <w:r>
              <w:t>3.1</w:t>
            </w:r>
          </w:p>
        </w:tc>
        <w:tc>
          <w:tcPr>
            <w:tcW w:w="4387" w:type="pct"/>
          </w:tcPr>
          <w:p w14:paraId="6A00F947" w14:textId="4417B89A" w:rsidR="0016727C" w:rsidRDefault="0016727C" w:rsidP="00FC7AD1">
            <w:pPr>
              <w:spacing w:after="120" w:line="360" w:lineRule="auto"/>
            </w:pPr>
            <w:r>
              <w:t xml:space="preserve">The author was appointed to undertake the SAR in October 2022. </w:t>
            </w:r>
          </w:p>
        </w:tc>
      </w:tr>
      <w:tr w:rsidR="0016727C" w14:paraId="6B3105FA" w14:textId="77777777" w:rsidTr="00425557">
        <w:tc>
          <w:tcPr>
            <w:tcW w:w="613" w:type="pct"/>
          </w:tcPr>
          <w:p w14:paraId="2E4EC36A" w14:textId="77777777" w:rsidR="0016727C" w:rsidRDefault="0016727C" w:rsidP="00FC7AD1">
            <w:pPr>
              <w:spacing w:after="120" w:line="360" w:lineRule="auto"/>
            </w:pPr>
            <w:r>
              <w:t>3.2</w:t>
            </w:r>
          </w:p>
        </w:tc>
        <w:tc>
          <w:tcPr>
            <w:tcW w:w="4387" w:type="pct"/>
          </w:tcPr>
          <w:p w14:paraId="34C26BB7" w14:textId="5D11D511" w:rsidR="0016727C" w:rsidRPr="00E674E6" w:rsidRDefault="0016727C" w:rsidP="00FC7AD1">
            <w:pPr>
              <w:spacing w:after="120" w:line="360" w:lineRule="auto"/>
            </w:pPr>
            <w:r w:rsidRPr="00E674E6">
              <w:t>Combined chronologies were supplied to the author along with a review completed by a safeguarding adult lead from one of the organisations involved. The agencies involved included:</w:t>
            </w:r>
          </w:p>
          <w:p w14:paraId="21AB1F07" w14:textId="77777777" w:rsidR="0016727C" w:rsidRDefault="0016727C" w:rsidP="00425557">
            <w:pPr>
              <w:pStyle w:val="NormalWeb"/>
              <w:numPr>
                <w:ilvl w:val="0"/>
                <w:numId w:val="20"/>
              </w:numPr>
              <w:spacing w:before="0" w:beforeAutospacing="0" w:after="120" w:afterAutospacing="0" w:line="360" w:lineRule="auto"/>
              <w:rPr>
                <w:rFonts w:asciiTheme="minorHAnsi" w:hAnsiTheme="minorHAnsi" w:cs="Calibri"/>
              </w:rPr>
            </w:pPr>
            <w:r>
              <w:rPr>
                <w:rFonts w:asciiTheme="minorHAnsi" w:hAnsiTheme="minorHAnsi" w:cs="Calibri"/>
              </w:rPr>
              <w:t xml:space="preserve">Nottinghamshire Healthcare NHS Foundation Trust </w:t>
            </w:r>
          </w:p>
          <w:p w14:paraId="3CD21753" w14:textId="77777777" w:rsidR="0016727C" w:rsidRPr="00E674E6" w:rsidRDefault="0016727C" w:rsidP="00425557">
            <w:pPr>
              <w:pStyle w:val="NormalWeb"/>
              <w:numPr>
                <w:ilvl w:val="0"/>
                <w:numId w:val="20"/>
              </w:numPr>
              <w:spacing w:before="0" w:beforeAutospacing="0" w:after="120" w:afterAutospacing="0" w:line="360" w:lineRule="auto"/>
              <w:rPr>
                <w:rFonts w:asciiTheme="minorHAnsi" w:hAnsiTheme="minorHAnsi" w:cs="Calibri"/>
              </w:rPr>
            </w:pPr>
            <w:r w:rsidRPr="00E674E6">
              <w:rPr>
                <w:rFonts w:asciiTheme="minorHAnsi" w:hAnsiTheme="minorHAnsi" w:cs="Calibri"/>
              </w:rPr>
              <w:t xml:space="preserve">Adult Social Care </w:t>
            </w:r>
          </w:p>
          <w:p w14:paraId="62D5A570" w14:textId="77777777" w:rsidR="0016727C" w:rsidRPr="00E674E6" w:rsidRDefault="0016727C" w:rsidP="00425557">
            <w:pPr>
              <w:pStyle w:val="NormalWeb"/>
              <w:numPr>
                <w:ilvl w:val="0"/>
                <w:numId w:val="20"/>
              </w:numPr>
              <w:spacing w:before="0" w:beforeAutospacing="0" w:after="120" w:afterAutospacing="0" w:line="360" w:lineRule="auto"/>
              <w:rPr>
                <w:rFonts w:asciiTheme="minorHAnsi" w:hAnsiTheme="minorHAnsi" w:cs="Calibri"/>
              </w:rPr>
            </w:pPr>
            <w:r w:rsidRPr="00E674E6">
              <w:rPr>
                <w:rFonts w:asciiTheme="minorHAnsi" w:hAnsiTheme="minorHAnsi" w:cs="Calibri"/>
              </w:rPr>
              <w:t>Ashfield District Council – Housing department</w:t>
            </w:r>
          </w:p>
          <w:p w14:paraId="3938B52C" w14:textId="77777777" w:rsidR="0016727C" w:rsidRPr="00E674E6" w:rsidRDefault="0016727C" w:rsidP="00425557">
            <w:pPr>
              <w:pStyle w:val="NormalWeb"/>
              <w:numPr>
                <w:ilvl w:val="0"/>
                <w:numId w:val="20"/>
              </w:numPr>
              <w:spacing w:before="0" w:beforeAutospacing="0" w:after="120" w:afterAutospacing="0" w:line="360" w:lineRule="auto"/>
              <w:rPr>
                <w:rFonts w:asciiTheme="minorHAnsi" w:hAnsiTheme="minorHAnsi" w:cs="Calibri"/>
              </w:rPr>
            </w:pPr>
            <w:r w:rsidRPr="00E674E6">
              <w:rPr>
                <w:rFonts w:asciiTheme="minorHAnsi" w:hAnsiTheme="minorHAnsi" w:cs="Calibri"/>
              </w:rPr>
              <w:t xml:space="preserve">Children’s Social Care </w:t>
            </w:r>
          </w:p>
          <w:p w14:paraId="4F8B19A6" w14:textId="77777777" w:rsidR="0016727C" w:rsidRPr="00E674E6" w:rsidRDefault="0016727C" w:rsidP="00425557">
            <w:pPr>
              <w:pStyle w:val="NormalWeb"/>
              <w:numPr>
                <w:ilvl w:val="0"/>
                <w:numId w:val="20"/>
              </w:numPr>
              <w:spacing w:before="0" w:beforeAutospacing="0" w:after="120" w:afterAutospacing="0" w:line="360" w:lineRule="auto"/>
              <w:rPr>
                <w:rFonts w:asciiTheme="minorHAnsi" w:hAnsiTheme="minorHAnsi" w:cs="Calibri"/>
              </w:rPr>
            </w:pPr>
            <w:r w:rsidRPr="00E674E6">
              <w:rPr>
                <w:rFonts w:asciiTheme="minorHAnsi" w:hAnsiTheme="minorHAnsi" w:cs="Calibri"/>
              </w:rPr>
              <w:t xml:space="preserve">East Midlands Ambulance service </w:t>
            </w:r>
          </w:p>
          <w:p w14:paraId="2663C5C8" w14:textId="77777777" w:rsidR="0016727C" w:rsidRPr="00E674E6" w:rsidRDefault="0016727C" w:rsidP="00425557">
            <w:pPr>
              <w:pStyle w:val="NormalWeb"/>
              <w:numPr>
                <w:ilvl w:val="0"/>
                <w:numId w:val="20"/>
              </w:numPr>
              <w:spacing w:before="0" w:beforeAutospacing="0" w:after="120" w:afterAutospacing="0" w:line="360" w:lineRule="auto"/>
              <w:rPr>
                <w:rFonts w:asciiTheme="minorHAnsi" w:hAnsiTheme="minorHAnsi" w:cs="Calibri"/>
              </w:rPr>
            </w:pPr>
            <w:r w:rsidRPr="00E674E6">
              <w:rPr>
                <w:rFonts w:asciiTheme="minorHAnsi" w:hAnsiTheme="minorHAnsi" w:cs="Calibri"/>
              </w:rPr>
              <w:t xml:space="preserve">Nottinghamshire Clinical Commissioning Service </w:t>
            </w:r>
          </w:p>
          <w:p w14:paraId="5CA74047" w14:textId="77777777" w:rsidR="0016727C" w:rsidRDefault="0016727C" w:rsidP="00425557">
            <w:pPr>
              <w:pStyle w:val="NormalWeb"/>
              <w:numPr>
                <w:ilvl w:val="0"/>
                <w:numId w:val="20"/>
              </w:numPr>
              <w:spacing w:before="0" w:beforeAutospacing="0" w:after="120" w:afterAutospacing="0" w:line="360" w:lineRule="auto"/>
              <w:rPr>
                <w:rFonts w:asciiTheme="minorHAnsi" w:hAnsiTheme="minorHAnsi" w:cs="Calibri"/>
                <w:sz w:val="22"/>
                <w:szCs w:val="22"/>
              </w:rPr>
            </w:pPr>
            <w:r w:rsidRPr="00E674E6">
              <w:rPr>
                <w:rFonts w:asciiTheme="minorHAnsi" w:hAnsiTheme="minorHAnsi" w:cs="Calibri"/>
              </w:rPr>
              <w:t>Nottingham Universities Hospitals NHS Trust</w:t>
            </w:r>
            <w:r>
              <w:rPr>
                <w:rFonts w:asciiTheme="minorHAnsi" w:hAnsiTheme="minorHAnsi" w:cs="Calibri"/>
                <w:sz w:val="22"/>
                <w:szCs w:val="22"/>
              </w:rPr>
              <w:t xml:space="preserve"> </w:t>
            </w:r>
          </w:p>
          <w:p w14:paraId="1759CD98" w14:textId="77777777" w:rsidR="0016727C" w:rsidRPr="008C2550" w:rsidRDefault="0016727C" w:rsidP="00425557">
            <w:pPr>
              <w:pStyle w:val="NormalWeb"/>
              <w:numPr>
                <w:ilvl w:val="0"/>
                <w:numId w:val="20"/>
              </w:numPr>
              <w:spacing w:before="0" w:beforeAutospacing="0" w:after="120" w:afterAutospacing="0" w:line="360" w:lineRule="auto"/>
              <w:rPr>
                <w:rFonts w:asciiTheme="minorHAnsi" w:hAnsiTheme="minorHAnsi" w:cs="Calibri"/>
              </w:rPr>
            </w:pPr>
            <w:r w:rsidRPr="008C2550">
              <w:rPr>
                <w:rFonts w:asciiTheme="minorHAnsi" w:hAnsiTheme="minorHAnsi" w:cs="Calibri"/>
              </w:rPr>
              <w:t>Sherwood Forest Hospitals NHS Trust</w:t>
            </w:r>
          </w:p>
        </w:tc>
      </w:tr>
      <w:tr w:rsidR="0016727C" w14:paraId="0271FAD7" w14:textId="77777777" w:rsidTr="00425557">
        <w:tc>
          <w:tcPr>
            <w:tcW w:w="613" w:type="pct"/>
          </w:tcPr>
          <w:p w14:paraId="52BF25C8" w14:textId="77777777" w:rsidR="0016727C" w:rsidRDefault="0016727C" w:rsidP="00FC7AD1">
            <w:pPr>
              <w:spacing w:after="120" w:line="360" w:lineRule="auto"/>
            </w:pPr>
            <w:r>
              <w:t>3.3</w:t>
            </w:r>
          </w:p>
        </w:tc>
        <w:tc>
          <w:tcPr>
            <w:tcW w:w="4387" w:type="pct"/>
          </w:tcPr>
          <w:p w14:paraId="04FD3F4C" w14:textId="1027E750" w:rsidR="0016727C" w:rsidRDefault="0016727C" w:rsidP="00FC7AD1">
            <w:pPr>
              <w:spacing w:after="120" w:line="360" w:lineRule="auto"/>
            </w:pPr>
            <w:proofErr w:type="gramStart"/>
            <w:r>
              <w:t>Through the use of</w:t>
            </w:r>
            <w:proofErr w:type="gramEnd"/>
            <w:r>
              <w:t xml:space="preserve"> an intermediary, communication was facilitated between the SAR author and Mr M22’s son. With his consent, the author wrote to Mr M22’s son and submitted </w:t>
            </w:r>
            <w:proofErr w:type="gramStart"/>
            <w:r>
              <w:t>a number of</w:t>
            </w:r>
            <w:proofErr w:type="gramEnd"/>
            <w:r>
              <w:t xml:space="preserve"> questions relating to his experiences and asked for his opinion on the treatment his father received prior to his death. </w:t>
            </w:r>
          </w:p>
        </w:tc>
      </w:tr>
      <w:tr w:rsidR="0016727C" w14:paraId="1E7B36A6" w14:textId="77777777" w:rsidTr="00425557">
        <w:tc>
          <w:tcPr>
            <w:tcW w:w="613" w:type="pct"/>
          </w:tcPr>
          <w:p w14:paraId="69B0AE5E" w14:textId="77777777" w:rsidR="0016727C" w:rsidRDefault="0016727C" w:rsidP="00FC7AD1">
            <w:pPr>
              <w:spacing w:after="120" w:line="360" w:lineRule="auto"/>
            </w:pPr>
            <w:r>
              <w:t>3.4</w:t>
            </w:r>
          </w:p>
        </w:tc>
        <w:tc>
          <w:tcPr>
            <w:tcW w:w="4387" w:type="pct"/>
          </w:tcPr>
          <w:p w14:paraId="36E58710" w14:textId="65E19E62" w:rsidR="0016727C" w:rsidRDefault="0016727C" w:rsidP="00FC7AD1">
            <w:pPr>
              <w:spacing w:after="120" w:line="360" w:lineRule="auto"/>
            </w:pPr>
            <w:r>
              <w:t xml:space="preserve">He was able to supply a substantial amount of background information about Mr M22 and was keen to put forward the family’s perspective about the treatment he had received. </w:t>
            </w:r>
          </w:p>
        </w:tc>
      </w:tr>
      <w:tr w:rsidR="0016727C" w14:paraId="4CCAF39D" w14:textId="77777777" w:rsidTr="00425557">
        <w:tc>
          <w:tcPr>
            <w:tcW w:w="613" w:type="pct"/>
          </w:tcPr>
          <w:p w14:paraId="77EC3CDE" w14:textId="77777777" w:rsidR="0016727C" w:rsidRDefault="0016727C" w:rsidP="00FC7AD1">
            <w:pPr>
              <w:spacing w:after="120" w:line="360" w:lineRule="auto"/>
            </w:pPr>
            <w:r>
              <w:lastRenderedPageBreak/>
              <w:t>3.5</w:t>
            </w:r>
          </w:p>
        </w:tc>
        <w:tc>
          <w:tcPr>
            <w:tcW w:w="4387" w:type="pct"/>
          </w:tcPr>
          <w:p w14:paraId="2BF582E0" w14:textId="1B8609E5" w:rsidR="0016727C" w:rsidRDefault="0016727C" w:rsidP="00FC7AD1">
            <w:pPr>
              <w:spacing w:after="120" w:line="360" w:lineRule="auto"/>
            </w:pPr>
            <w:r>
              <w:t xml:space="preserve">Following the initial review of all the information, </w:t>
            </w:r>
            <w:proofErr w:type="gramStart"/>
            <w:r>
              <w:t>a number of</w:t>
            </w:r>
            <w:proofErr w:type="gramEnd"/>
            <w:r>
              <w:t xml:space="preserve"> themes were identified that the author considered were key elements of the care Mr M22 received prior to his death. These fell into the following categories:</w:t>
            </w:r>
          </w:p>
          <w:p w14:paraId="04AA9243" w14:textId="77777777" w:rsidR="0016727C" w:rsidRPr="006C0DE7" w:rsidRDefault="0016727C" w:rsidP="00FC7AD1">
            <w:pPr>
              <w:pStyle w:val="ListParagraph"/>
              <w:numPr>
                <w:ilvl w:val="0"/>
                <w:numId w:val="12"/>
              </w:numPr>
              <w:spacing w:after="120" w:line="360" w:lineRule="auto"/>
              <w:rPr>
                <w:rFonts w:asciiTheme="minorHAnsi" w:hAnsiTheme="minorHAnsi" w:cstheme="majorHAnsi"/>
                <w:sz w:val="24"/>
                <w:szCs w:val="24"/>
              </w:rPr>
            </w:pPr>
            <w:r w:rsidRPr="006C0DE7">
              <w:rPr>
                <w:rFonts w:asciiTheme="minorHAnsi" w:hAnsiTheme="minorHAnsi" w:cstheme="majorHAnsi"/>
                <w:sz w:val="24"/>
                <w:szCs w:val="24"/>
              </w:rPr>
              <w:t>Partnership working</w:t>
            </w:r>
          </w:p>
          <w:p w14:paraId="1EB9C160" w14:textId="77777777" w:rsidR="0016727C" w:rsidRPr="006C0DE7" w:rsidRDefault="0016727C" w:rsidP="00FC7AD1">
            <w:pPr>
              <w:pStyle w:val="ListParagraph"/>
              <w:numPr>
                <w:ilvl w:val="0"/>
                <w:numId w:val="12"/>
              </w:numPr>
              <w:spacing w:after="120" w:line="360" w:lineRule="auto"/>
              <w:rPr>
                <w:rFonts w:asciiTheme="minorHAnsi" w:hAnsiTheme="minorHAnsi" w:cstheme="majorHAnsi"/>
                <w:sz w:val="24"/>
                <w:szCs w:val="24"/>
              </w:rPr>
            </w:pPr>
            <w:r w:rsidRPr="006C0DE7">
              <w:rPr>
                <w:rFonts w:asciiTheme="minorHAnsi" w:hAnsiTheme="minorHAnsi" w:cstheme="majorHAnsi"/>
                <w:sz w:val="24"/>
                <w:szCs w:val="24"/>
              </w:rPr>
              <w:t xml:space="preserve">Supervision and support </w:t>
            </w:r>
          </w:p>
          <w:p w14:paraId="573C39B8" w14:textId="77777777" w:rsidR="0016727C" w:rsidRPr="006C0DE7" w:rsidRDefault="0016727C" w:rsidP="00FC7AD1">
            <w:pPr>
              <w:pStyle w:val="ListParagraph"/>
              <w:numPr>
                <w:ilvl w:val="0"/>
                <w:numId w:val="12"/>
              </w:numPr>
              <w:spacing w:after="120" w:line="360" w:lineRule="auto"/>
              <w:rPr>
                <w:rFonts w:asciiTheme="minorHAnsi" w:hAnsiTheme="minorHAnsi" w:cstheme="majorHAnsi"/>
                <w:sz w:val="24"/>
                <w:szCs w:val="24"/>
              </w:rPr>
            </w:pPr>
            <w:r w:rsidRPr="006C0DE7">
              <w:rPr>
                <w:rFonts w:asciiTheme="minorHAnsi" w:hAnsiTheme="minorHAnsi" w:cstheme="majorHAnsi"/>
                <w:sz w:val="24"/>
                <w:szCs w:val="24"/>
              </w:rPr>
              <w:t>Risk management</w:t>
            </w:r>
          </w:p>
          <w:p w14:paraId="3C7F2A60" w14:textId="77777777" w:rsidR="0016727C" w:rsidRPr="006C0DE7" w:rsidRDefault="0016727C" w:rsidP="00FC7AD1">
            <w:pPr>
              <w:pStyle w:val="ListParagraph"/>
              <w:numPr>
                <w:ilvl w:val="0"/>
                <w:numId w:val="12"/>
              </w:numPr>
              <w:spacing w:after="120" w:line="360" w:lineRule="auto"/>
              <w:rPr>
                <w:rFonts w:asciiTheme="minorHAnsi" w:hAnsiTheme="minorHAnsi" w:cstheme="majorHAnsi"/>
                <w:sz w:val="24"/>
                <w:szCs w:val="24"/>
              </w:rPr>
            </w:pPr>
            <w:proofErr w:type="spellStart"/>
            <w:r w:rsidRPr="006C0DE7">
              <w:rPr>
                <w:rFonts w:asciiTheme="minorHAnsi" w:hAnsiTheme="minorHAnsi" w:cstheme="majorHAnsi"/>
                <w:sz w:val="24"/>
                <w:szCs w:val="24"/>
              </w:rPr>
              <w:t>Self neglect</w:t>
            </w:r>
            <w:proofErr w:type="spellEnd"/>
            <w:r w:rsidRPr="006C0DE7">
              <w:rPr>
                <w:rFonts w:asciiTheme="minorHAnsi" w:hAnsiTheme="minorHAnsi" w:cstheme="majorHAnsi"/>
                <w:sz w:val="24"/>
                <w:szCs w:val="24"/>
              </w:rPr>
              <w:t xml:space="preserve"> </w:t>
            </w:r>
          </w:p>
          <w:p w14:paraId="35FD2D98" w14:textId="0C949BD1" w:rsidR="0016727C" w:rsidRPr="00FC7AD1" w:rsidRDefault="0016727C" w:rsidP="00FC7AD1">
            <w:pPr>
              <w:pStyle w:val="ListParagraph"/>
              <w:numPr>
                <w:ilvl w:val="0"/>
                <w:numId w:val="12"/>
              </w:numPr>
              <w:spacing w:after="120" w:line="360" w:lineRule="auto"/>
              <w:rPr>
                <w:rFonts w:asciiTheme="minorHAnsi" w:hAnsiTheme="minorHAnsi" w:cstheme="majorHAnsi"/>
                <w:sz w:val="24"/>
                <w:szCs w:val="24"/>
              </w:rPr>
            </w:pPr>
            <w:r w:rsidRPr="006C0DE7">
              <w:rPr>
                <w:rFonts w:asciiTheme="minorHAnsi" w:hAnsiTheme="minorHAnsi" w:cstheme="majorHAnsi"/>
                <w:sz w:val="24"/>
                <w:szCs w:val="24"/>
              </w:rPr>
              <w:t>Carers assessment</w:t>
            </w:r>
          </w:p>
        </w:tc>
      </w:tr>
      <w:tr w:rsidR="0016727C" w14:paraId="73FE2435" w14:textId="77777777" w:rsidTr="00425557">
        <w:tc>
          <w:tcPr>
            <w:tcW w:w="613" w:type="pct"/>
          </w:tcPr>
          <w:p w14:paraId="20F0AE3F" w14:textId="77777777" w:rsidR="0016727C" w:rsidRDefault="0016727C" w:rsidP="00FC7AD1">
            <w:pPr>
              <w:spacing w:after="120" w:line="360" w:lineRule="auto"/>
            </w:pPr>
            <w:r>
              <w:t>3.6</w:t>
            </w:r>
          </w:p>
        </w:tc>
        <w:tc>
          <w:tcPr>
            <w:tcW w:w="4387" w:type="pct"/>
          </w:tcPr>
          <w:p w14:paraId="1C39E475" w14:textId="3C2A499D" w:rsidR="0016727C" w:rsidRDefault="0016727C" w:rsidP="00FC7AD1">
            <w:pPr>
              <w:spacing w:after="120" w:line="360" w:lineRule="auto"/>
            </w:pPr>
            <w:r>
              <w:t>A practitioner learning event was held on 28</w:t>
            </w:r>
            <w:r w:rsidRPr="00F131D7">
              <w:rPr>
                <w:vertAlign w:val="superscript"/>
              </w:rPr>
              <w:t>th</w:t>
            </w:r>
            <w:r>
              <w:t xml:space="preserve"> September 2023. This event involved both front line and management staff and was facilitated by the report author. </w:t>
            </w:r>
            <w:proofErr w:type="gramStart"/>
            <w:r>
              <w:t>In order to</w:t>
            </w:r>
            <w:proofErr w:type="gramEnd"/>
            <w:r>
              <w:t xml:space="preserve"> allow the maximum number of staff to participate in the event it was run via Microsoft Teams. </w:t>
            </w:r>
          </w:p>
        </w:tc>
      </w:tr>
      <w:tr w:rsidR="0016727C" w14:paraId="0DB35D1E" w14:textId="77777777" w:rsidTr="00425557">
        <w:tc>
          <w:tcPr>
            <w:tcW w:w="613" w:type="pct"/>
          </w:tcPr>
          <w:p w14:paraId="77BFFEEF" w14:textId="77777777" w:rsidR="0016727C" w:rsidRDefault="0016727C" w:rsidP="00FC7AD1">
            <w:pPr>
              <w:spacing w:after="120" w:line="360" w:lineRule="auto"/>
            </w:pPr>
            <w:r>
              <w:t>3.7</w:t>
            </w:r>
          </w:p>
        </w:tc>
        <w:tc>
          <w:tcPr>
            <w:tcW w:w="4387" w:type="pct"/>
          </w:tcPr>
          <w:p w14:paraId="00FD3A54" w14:textId="3D56D7B7" w:rsidR="0016727C" w:rsidRDefault="0016727C" w:rsidP="00FC7AD1">
            <w:pPr>
              <w:spacing w:after="120" w:line="360" w:lineRule="auto"/>
            </w:pPr>
            <w:r>
              <w:t xml:space="preserve">It was made clear at the outset of the learning event that it was to be conducted in an environment where staff would feel free to express themselves, without fear of being blamed for any apparent failings. The intention was to learn from the circumstances of Mr M22s treatment </w:t>
            </w:r>
            <w:proofErr w:type="gramStart"/>
            <w:r>
              <w:t>in order to</w:t>
            </w:r>
            <w:proofErr w:type="gramEnd"/>
            <w:r>
              <w:t xml:space="preserve"> identify those elements that worked well and highlight areas that required further improvement. </w:t>
            </w:r>
          </w:p>
        </w:tc>
      </w:tr>
      <w:tr w:rsidR="0016727C" w14:paraId="4B2AB7D1" w14:textId="77777777" w:rsidTr="00425557">
        <w:tc>
          <w:tcPr>
            <w:tcW w:w="613" w:type="pct"/>
          </w:tcPr>
          <w:p w14:paraId="35080F02" w14:textId="77777777" w:rsidR="0016727C" w:rsidRDefault="0016727C" w:rsidP="00FC7AD1">
            <w:pPr>
              <w:spacing w:after="120" w:line="360" w:lineRule="auto"/>
            </w:pPr>
            <w:r>
              <w:t>3.8</w:t>
            </w:r>
          </w:p>
        </w:tc>
        <w:tc>
          <w:tcPr>
            <w:tcW w:w="4387" w:type="pct"/>
          </w:tcPr>
          <w:p w14:paraId="281866C1" w14:textId="479E4C7D" w:rsidR="0016727C" w:rsidRDefault="0016727C" w:rsidP="00FC7AD1">
            <w:pPr>
              <w:spacing w:after="120" w:line="360" w:lineRule="auto"/>
            </w:pPr>
            <w:r>
              <w:t>The combined chronology and an explanatory letter were circulated to all participants prior to the event so that everyone was clear about the aims and objectives. In addition, the viewpoint of the family was shared with the delegates as part of a section entitled ‘Getting to know Mr M22’.</w:t>
            </w:r>
          </w:p>
        </w:tc>
      </w:tr>
      <w:tr w:rsidR="0016727C" w14:paraId="1049D2CB" w14:textId="77777777" w:rsidTr="00425557">
        <w:tc>
          <w:tcPr>
            <w:tcW w:w="613" w:type="pct"/>
          </w:tcPr>
          <w:p w14:paraId="40DAA9E0" w14:textId="77777777" w:rsidR="0016727C" w:rsidRDefault="0016727C" w:rsidP="00FC7AD1">
            <w:pPr>
              <w:spacing w:after="120" w:line="360" w:lineRule="auto"/>
            </w:pPr>
            <w:r>
              <w:t>3.9</w:t>
            </w:r>
          </w:p>
        </w:tc>
        <w:tc>
          <w:tcPr>
            <w:tcW w:w="4387" w:type="pct"/>
          </w:tcPr>
          <w:p w14:paraId="4F47CB29" w14:textId="74BF82A6" w:rsidR="0016727C" w:rsidRDefault="0016727C" w:rsidP="00FC7AD1">
            <w:pPr>
              <w:spacing w:after="120" w:line="360" w:lineRule="auto"/>
            </w:pPr>
            <w:r>
              <w:t xml:space="preserve">The event involved a summary of the timeline of events leading up to Mr M22’s death, followed by a series of questions which the participants were asked to comment upon relating to the five themes previously identified. </w:t>
            </w:r>
          </w:p>
        </w:tc>
      </w:tr>
      <w:tr w:rsidR="0016727C" w14:paraId="6DA27AA9" w14:textId="77777777" w:rsidTr="00425557">
        <w:tc>
          <w:tcPr>
            <w:tcW w:w="613" w:type="pct"/>
          </w:tcPr>
          <w:p w14:paraId="7B2862A0" w14:textId="77777777" w:rsidR="0016727C" w:rsidRDefault="0016727C" w:rsidP="00FC7AD1">
            <w:pPr>
              <w:spacing w:after="120" w:line="360" w:lineRule="auto"/>
            </w:pPr>
            <w:r>
              <w:t>3.10</w:t>
            </w:r>
          </w:p>
        </w:tc>
        <w:tc>
          <w:tcPr>
            <w:tcW w:w="4387" w:type="pct"/>
          </w:tcPr>
          <w:p w14:paraId="1490D967" w14:textId="720419D4" w:rsidR="0016727C" w:rsidRPr="00271B82" w:rsidRDefault="0016727C" w:rsidP="00FC7AD1">
            <w:pPr>
              <w:spacing w:after="120" w:line="360" w:lineRule="auto"/>
            </w:pPr>
            <w:r w:rsidRPr="00271B82">
              <w:t xml:space="preserve">Delegates were asked to consider the circumstances of Mr M22’s death and, when thinking about a </w:t>
            </w:r>
            <w:proofErr w:type="gramStart"/>
            <w:r w:rsidRPr="00271B82">
              <w:t>particular categories</w:t>
            </w:r>
            <w:proofErr w:type="gramEnd"/>
            <w:r w:rsidRPr="00271B82">
              <w:t>, consider:</w:t>
            </w:r>
          </w:p>
          <w:p w14:paraId="13F0FF9D" w14:textId="77777777" w:rsidR="0016727C" w:rsidRPr="00271B82" w:rsidRDefault="0016727C" w:rsidP="00FC7AD1">
            <w:pPr>
              <w:pStyle w:val="ListParagraph"/>
              <w:numPr>
                <w:ilvl w:val="0"/>
                <w:numId w:val="13"/>
              </w:numPr>
              <w:spacing w:after="120" w:line="360" w:lineRule="auto"/>
              <w:rPr>
                <w:rFonts w:asciiTheme="minorHAnsi" w:hAnsiTheme="minorHAnsi" w:cstheme="majorHAnsi"/>
                <w:sz w:val="24"/>
                <w:szCs w:val="24"/>
              </w:rPr>
            </w:pPr>
            <w:r w:rsidRPr="00271B82">
              <w:rPr>
                <w:rFonts w:asciiTheme="minorHAnsi" w:hAnsiTheme="minorHAnsi" w:cstheme="majorHAnsi"/>
                <w:sz w:val="24"/>
                <w:szCs w:val="24"/>
              </w:rPr>
              <w:t>What went well?</w:t>
            </w:r>
          </w:p>
          <w:p w14:paraId="1F8AF08C" w14:textId="77777777" w:rsidR="0016727C" w:rsidRPr="00271B82" w:rsidRDefault="0016727C" w:rsidP="00FC7AD1">
            <w:pPr>
              <w:pStyle w:val="ListParagraph"/>
              <w:numPr>
                <w:ilvl w:val="0"/>
                <w:numId w:val="13"/>
              </w:numPr>
              <w:spacing w:after="120" w:line="360" w:lineRule="auto"/>
              <w:rPr>
                <w:rFonts w:asciiTheme="minorHAnsi" w:hAnsiTheme="minorHAnsi" w:cstheme="majorHAnsi"/>
                <w:sz w:val="24"/>
                <w:szCs w:val="24"/>
              </w:rPr>
            </w:pPr>
            <w:r w:rsidRPr="00271B82">
              <w:rPr>
                <w:rFonts w:asciiTheme="minorHAnsi" w:hAnsiTheme="minorHAnsi" w:cstheme="majorHAnsi"/>
                <w:sz w:val="24"/>
                <w:szCs w:val="24"/>
              </w:rPr>
              <w:t>Even better if …</w:t>
            </w:r>
          </w:p>
          <w:p w14:paraId="5D003FF5" w14:textId="4502BA9A" w:rsidR="0016727C" w:rsidRPr="00FC7AD1" w:rsidRDefault="0016727C" w:rsidP="00FC7AD1">
            <w:pPr>
              <w:pStyle w:val="ListParagraph"/>
              <w:numPr>
                <w:ilvl w:val="0"/>
                <w:numId w:val="13"/>
              </w:numPr>
              <w:spacing w:after="120" w:line="360" w:lineRule="auto"/>
              <w:rPr>
                <w:rFonts w:asciiTheme="minorHAnsi" w:hAnsiTheme="minorHAnsi" w:cstheme="majorHAnsi"/>
                <w:sz w:val="24"/>
                <w:szCs w:val="24"/>
              </w:rPr>
            </w:pPr>
            <w:r w:rsidRPr="00271B82">
              <w:rPr>
                <w:rFonts w:asciiTheme="minorHAnsi" w:hAnsiTheme="minorHAnsi" w:cstheme="majorHAnsi"/>
                <w:sz w:val="24"/>
                <w:szCs w:val="24"/>
              </w:rPr>
              <w:lastRenderedPageBreak/>
              <w:t>How to improve learning</w:t>
            </w:r>
          </w:p>
        </w:tc>
      </w:tr>
      <w:tr w:rsidR="0016727C" w14:paraId="7E49ECA9" w14:textId="77777777" w:rsidTr="00425557">
        <w:tc>
          <w:tcPr>
            <w:tcW w:w="613" w:type="pct"/>
          </w:tcPr>
          <w:p w14:paraId="0D488B60" w14:textId="77777777" w:rsidR="0016727C" w:rsidRDefault="0016727C" w:rsidP="00FC7AD1">
            <w:pPr>
              <w:spacing w:after="120" w:line="360" w:lineRule="auto"/>
            </w:pPr>
            <w:r>
              <w:lastRenderedPageBreak/>
              <w:t>3.11</w:t>
            </w:r>
          </w:p>
        </w:tc>
        <w:tc>
          <w:tcPr>
            <w:tcW w:w="4387" w:type="pct"/>
          </w:tcPr>
          <w:p w14:paraId="33179D98" w14:textId="77777777" w:rsidR="0016727C" w:rsidRDefault="0016727C" w:rsidP="00FC7AD1">
            <w:pPr>
              <w:spacing w:after="120" w:line="360" w:lineRule="auto"/>
            </w:pPr>
            <w:r>
              <w:t xml:space="preserve">There was excellent participation from all candidates during the session and </w:t>
            </w:r>
            <w:proofErr w:type="gramStart"/>
            <w:r>
              <w:t>a number of</w:t>
            </w:r>
            <w:proofErr w:type="gramEnd"/>
            <w:r>
              <w:t xml:space="preserve"> key issues were highlighted and discussed. </w:t>
            </w:r>
          </w:p>
          <w:p w14:paraId="00A295C4" w14:textId="77777777" w:rsidR="0016727C" w:rsidRDefault="0016727C" w:rsidP="00FC7AD1">
            <w:pPr>
              <w:spacing w:after="120" w:line="360" w:lineRule="auto"/>
            </w:pPr>
            <w:r>
              <w:t xml:space="preserve">These are described in more detail within the body of this report. </w:t>
            </w:r>
          </w:p>
          <w:p w14:paraId="5D07EA2F" w14:textId="77777777" w:rsidR="00FC7AD1" w:rsidRDefault="00FC7AD1" w:rsidP="00FC7AD1">
            <w:pPr>
              <w:spacing w:after="120" w:line="360" w:lineRule="auto"/>
            </w:pPr>
          </w:p>
          <w:p w14:paraId="6F03C282" w14:textId="14BD90DF" w:rsidR="00425557" w:rsidRDefault="00425557" w:rsidP="00FC7AD1">
            <w:pPr>
              <w:spacing w:after="120" w:line="360" w:lineRule="auto"/>
            </w:pPr>
          </w:p>
        </w:tc>
      </w:tr>
      <w:tr w:rsidR="0016727C" w14:paraId="1E946B93" w14:textId="77777777" w:rsidTr="00425557">
        <w:tc>
          <w:tcPr>
            <w:tcW w:w="613" w:type="pct"/>
          </w:tcPr>
          <w:p w14:paraId="7508FDE9" w14:textId="77777777" w:rsidR="0016727C" w:rsidRPr="000C3AF1" w:rsidRDefault="0016727C" w:rsidP="00FC7AD1">
            <w:pPr>
              <w:spacing w:after="120" w:line="360" w:lineRule="auto"/>
              <w:rPr>
                <w:sz w:val="36"/>
                <w:szCs w:val="36"/>
              </w:rPr>
            </w:pPr>
            <w:r w:rsidRPr="000C3AF1">
              <w:rPr>
                <w:sz w:val="36"/>
                <w:szCs w:val="36"/>
              </w:rPr>
              <w:t xml:space="preserve">4 </w:t>
            </w:r>
          </w:p>
        </w:tc>
        <w:tc>
          <w:tcPr>
            <w:tcW w:w="4387" w:type="pct"/>
          </w:tcPr>
          <w:p w14:paraId="61B602C0" w14:textId="785830C1" w:rsidR="0016727C" w:rsidRPr="000C3AF1" w:rsidRDefault="0016727C" w:rsidP="00FC7AD1">
            <w:pPr>
              <w:spacing w:after="120" w:line="360" w:lineRule="auto"/>
              <w:rPr>
                <w:sz w:val="36"/>
                <w:szCs w:val="36"/>
              </w:rPr>
            </w:pPr>
            <w:r w:rsidRPr="000C3AF1">
              <w:rPr>
                <w:sz w:val="36"/>
                <w:szCs w:val="36"/>
              </w:rPr>
              <w:t xml:space="preserve">Background </w:t>
            </w:r>
          </w:p>
        </w:tc>
      </w:tr>
      <w:tr w:rsidR="0016727C" w14:paraId="24A71C89" w14:textId="77777777" w:rsidTr="00425557">
        <w:tc>
          <w:tcPr>
            <w:tcW w:w="613" w:type="pct"/>
          </w:tcPr>
          <w:p w14:paraId="3EEFA87D" w14:textId="77777777" w:rsidR="0016727C" w:rsidRDefault="0016727C" w:rsidP="00FC7AD1">
            <w:pPr>
              <w:spacing w:after="120" w:line="360" w:lineRule="auto"/>
            </w:pPr>
            <w:r>
              <w:t>4.1</w:t>
            </w:r>
          </w:p>
        </w:tc>
        <w:tc>
          <w:tcPr>
            <w:tcW w:w="4387" w:type="pct"/>
          </w:tcPr>
          <w:p w14:paraId="58112436" w14:textId="6A5350ED" w:rsidR="0016727C" w:rsidRDefault="0016727C" w:rsidP="00FC7AD1">
            <w:pPr>
              <w:spacing w:after="120" w:line="360" w:lineRule="auto"/>
            </w:pPr>
            <w:r>
              <w:t>Mr M22 was born on 10</w:t>
            </w:r>
            <w:r w:rsidRPr="00164FC1">
              <w:rPr>
                <w:vertAlign w:val="superscript"/>
              </w:rPr>
              <w:t>th</w:t>
            </w:r>
            <w:r>
              <w:t xml:space="preserve"> April 1978. </w:t>
            </w:r>
          </w:p>
        </w:tc>
      </w:tr>
      <w:tr w:rsidR="0016727C" w14:paraId="1A84F3DF" w14:textId="77777777" w:rsidTr="00425557">
        <w:tc>
          <w:tcPr>
            <w:tcW w:w="613" w:type="pct"/>
          </w:tcPr>
          <w:p w14:paraId="39FE8358" w14:textId="77777777" w:rsidR="0016727C" w:rsidRDefault="0016727C" w:rsidP="00FC7AD1">
            <w:pPr>
              <w:spacing w:after="120" w:line="360" w:lineRule="auto"/>
            </w:pPr>
            <w:r>
              <w:t>4.2</w:t>
            </w:r>
          </w:p>
        </w:tc>
        <w:tc>
          <w:tcPr>
            <w:tcW w:w="4387" w:type="pct"/>
          </w:tcPr>
          <w:p w14:paraId="7CF33D55" w14:textId="1954805F" w:rsidR="0016727C" w:rsidRDefault="0016727C" w:rsidP="00FC7AD1">
            <w:pPr>
              <w:spacing w:after="120" w:line="360" w:lineRule="auto"/>
            </w:pPr>
            <w:r>
              <w:t xml:space="preserve">He spent most of his life living in and around Sutton-in-Ashfield, Nottinghamshire. He had well documented issues in his life involving substance misuse and these impacted upon his physical health. </w:t>
            </w:r>
          </w:p>
        </w:tc>
      </w:tr>
      <w:tr w:rsidR="0016727C" w14:paraId="4B7374AE" w14:textId="77777777" w:rsidTr="00425557">
        <w:tc>
          <w:tcPr>
            <w:tcW w:w="613" w:type="pct"/>
          </w:tcPr>
          <w:p w14:paraId="798C6D94" w14:textId="77777777" w:rsidR="0016727C" w:rsidRDefault="0016727C" w:rsidP="00FC7AD1">
            <w:pPr>
              <w:spacing w:after="120" w:line="360" w:lineRule="auto"/>
            </w:pPr>
            <w:r>
              <w:t>4.3</w:t>
            </w:r>
          </w:p>
        </w:tc>
        <w:tc>
          <w:tcPr>
            <w:tcW w:w="4387" w:type="pct"/>
          </w:tcPr>
          <w:p w14:paraId="1AF5315D" w14:textId="59CD820B" w:rsidR="0016727C" w:rsidRDefault="0016727C" w:rsidP="00FC7AD1">
            <w:pPr>
              <w:spacing w:after="120" w:line="360" w:lineRule="auto"/>
            </w:pPr>
            <w:r>
              <w:t xml:space="preserve">The chronologies provided by key agencies detail Mr M22’s medical history going back to the start of 2018. What can be seen from the information available is that he had complex medical needs. These included peripheral vascular disease, as well as </w:t>
            </w:r>
            <w:proofErr w:type="gramStart"/>
            <w:r>
              <w:t>a number of</w:t>
            </w:r>
            <w:proofErr w:type="gramEnd"/>
            <w:r>
              <w:t xml:space="preserve"> problems associated with alcohol and drug use. </w:t>
            </w:r>
          </w:p>
        </w:tc>
      </w:tr>
      <w:tr w:rsidR="0016727C" w14:paraId="24AF8D2B" w14:textId="77777777" w:rsidTr="00425557">
        <w:tc>
          <w:tcPr>
            <w:tcW w:w="613" w:type="pct"/>
          </w:tcPr>
          <w:p w14:paraId="27502462" w14:textId="77777777" w:rsidR="0016727C" w:rsidRDefault="0016727C" w:rsidP="00FC7AD1">
            <w:pPr>
              <w:spacing w:after="120" w:line="360" w:lineRule="auto"/>
            </w:pPr>
            <w:r>
              <w:t>4.4</w:t>
            </w:r>
          </w:p>
        </w:tc>
        <w:tc>
          <w:tcPr>
            <w:tcW w:w="4387" w:type="pct"/>
          </w:tcPr>
          <w:p w14:paraId="6CF240DF" w14:textId="3C02CF6A" w:rsidR="0016727C" w:rsidRDefault="0016727C" w:rsidP="00FC7AD1">
            <w:pPr>
              <w:spacing w:after="120" w:line="360" w:lineRule="auto"/>
            </w:pPr>
            <w:r>
              <w:t xml:space="preserve">Prior to 2018 the records indicate that Mr M22 had been provided with a great deal of support from </w:t>
            </w:r>
            <w:proofErr w:type="gramStart"/>
            <w:r>
              <w:t>a number of</w:t>
            </w:r>
            <w:proofErr w:type="gramEnd"/>
            <w:r>
              <w:t xml:space="preserve"> services including Alcohol Support, Parenting Programme, local Adult Mental Health teams as well as support from a Dietician and help from both Occupational Therapy and Physiotherapy teams. </w:t>
            </w:r>
          </w:p>
        </w:tc>
      </w:tr>
      <w:tr w:rsidR="0016727C" w14:paraId="10AF3CC8" w14:textId="77777777" w:rsidTr="00425557">
        <w:tc>
          <w:tcPr>
            <w:tcW w:w="613" w:type="pct"/>
          </w:tcPr>
          <w:p w14:paraId="7DC782A9" w14:textId="77777777" w:rsidR="0016727C" w:rsidRDefault="0016727C" w:rsidP="00FC7AD1">
            <w:pPr>
              <w:spacing w:after="120" w:line="360" w:lineRule="auto"/>
            </w:pPr>
            <w:r>
              <w:t>4.5</w:t>
            </w:r>
          </w:p>
        </w:tc>
        <w:tc>
          <w:tcPr>
            <w:tcW w:w="4387" w:type="pct"/>
          </w:tcPr>
          <w:p w14:paraId="2FB6BE4C" w14:textId="52DBF32B" w:rsidR="0016727C" w:rsidRDefault="0016727C" w:rsidP="00FC7AD1">
            <w:pPr>
              <w:spacing w:after="120" w:line="360" w:lineRule="auto"/>
            </w:pPr>
            <w:proofErr w:type="gramStart"/>
            <w:r>
              <w:t>In order to</w:t>
            </w:r>
            <w:proofErr w:type="gramEnd"/>
            <w:r>
              <w:t xml:space="preserve"> better understand the interactions between the various agencies and departments involved in the care of Mr M22, the author produced a combined chronology. This provides a timeline of events and describes the contact and care that took place prior to his death. Some of key entries are summarised below. </w:t>
            </w:r>
          </w:p>
        </w:tc>
      </w:tr>
      <w:tr w:rsidR="0016727C" w14:paraId="6582C4BE" w14:textId="77777777" w:rsidTr="00425557">
        <w:tc>
          <w:tcPr>
            <w:tcW w:w="613" w:type="pct"/>
          </w:tcPr>
          <w:p w14:paraId="2DBB8FF6" w14:textId="77777777" w:rsidR="0016727C" w:rsidRDefault="0016727C" w:rsidP="00FC7AD1">
            <w:pPr>
              <w:spacing w:after="120" w:line="360" w:lineRule="auto"/>
            </w:pPr>
            <w:r>
              <w:lastRenderedPageBreak/>
              <w:t>4.6</w:t>
            </w:r>
          </w:p>
        </w:tc>
        <w:tc>
          <w:tcPr>
            <w:tcW w:w="4387" w:type="pct"/>
          </w:tcPr>
          <w:p w14:paraId="6C8C82CC" w14:textId="5B0C9468" w:rsidR="0016727C" w:rsidRDefault="0016727C" w:rsidP="00FC7AD1">
            <w:pPr>
              <w:spacing w:after="120" w:line="360" w:lineRule="auto"/>
            </w:pPr>
            <w:r>
              <w:t>Mr M22 was supplied with accommodation via an arrangement with Nottinghamshire County council.</w:t>
            </w:r>
          </w:p>
        </w:tc>
      </w:tr>
      <w:tr w:rsidR="0016727C" w14:paraId="3B74F426" w14:textId="77777777" w:rsidTr="00425557">
        <w:tc>
          <w:tcPr>
            <w:tcW w:w="613" w:type="pct"/>
          </w:tcPr>
          <w:p w14:paraId="64C297F2" w14:textId="77777777" w:rsidR="0016727C" w:rsidRDefault="0016727C" w:rsidP="00FC7AD1">
            <w:pPr>
              <w:spacing w:after="120" w:line="360" w:lineRule="auto"/>
            </w:pPr>
            <w:r>
              <w:t>4.7</w:t>
            </w:r>
          </w:p>
        </w:tc>
        <w:tc>
          <w:tcPr>
            <w:tcW w:w="4387" w:type="pct"/>
          </w:tcPr>
          <w:p w14:paraId="36BAE877" w14:textId="62056AAE" w:rsidR="0016727C" w:rsidRDefault="0016727C" w:rsidP="00FC7AD1">
            <w:pPr>
              <w:spacing w:after="120" w:line="360" w:lineRule="auto"/>
            </w:pPr>
            <w:r>
              <w:t xml:space="preserve">In 2015 there is a great deal of interaction with Mr M22 and his partner with children’s services regarding the apparent neglect of their children. This was resolved when the two younger children were adopted, whilst the eldest child (16yrs at that time) remained in the home. </w:t>
            </w:r>
          </w:p>
        </w:tc>
      </w:tr>
      <w:tr w:rsidR="0016727C" w14:paraId="52F97300" w14:textId="77777777" w:rsidTr="00425557">
        <w:tc>
          <w:tcPr>
            <w:tcW w:w="613" w:type="pct"/>
          </w:tcPr>
          <w:p w14:paraId="10C72442" w14:textId="77777777" w:rsidR="0016727C" w:rsidRDefault="0016727C" w:rsidP="00FC7AD1">
            <w:pPr>
              <w:spacing w:after="120" w:line="360" w:lineRule="auto"/>
            </w:pPr>
            <w:r>
              <w:t>4.8</w:t>
            </w:r>
          </w:p>
        </w:tc>
        <w:tc>
          <w:tcPr>
            <w:tcW w:w="4387" w:type="pct"/>
          </w:tcPr>
          <w:p w14:paraId="5BB1E70B" w14:textId="04DA6D2E" w:rsidR="0016727C" w:rsidRPr="00FC7AD1" w:rsidRDefault="0016727C" w:rsidP="00FC7AD1">
            <w:pPr>
              <w:spacing w:after="120" w:line="360" w:lineRule="auto"/>
              <w:rPr>
                <w:rFonts w:cs="Arial"/>
              </w:rPr>
            </w:pPr>
            <w:r w:rsidRPr="00F1211B">
              <w:rPr>
                <w:rFonts w:cs="Arial"/>
              </w:rPr>
              <w:t xml:space="preserve">In 2017 there were ongoing concerns recorded in relation to Mr M22’s diet and weight, as well as issues around his mental health. He received help </w:t>
            </w:r>
            <w:r>
              <w:rPr>
                <w:rFonts w:cs="Arial"/>
              </w:rPr>
              <w:t>via</w:t>
            </w:r>
            <w:r w:rsidRPr="00F1211B">
              <w:rPr>
                <w:rFonts w:cs="Arial"/>
              </w:rPr>
              <w:t xml:space="preserve"> his GP in relation to his diet as well as alcohol and cannabis </w:t>
            </w:r>
            <w:r>
              <w:rPr>
                <w:rFonts w:cs="Arial"/>
              </w:rPr>
              <w:t>use</w:t>
            </w:r>
            <w:r w:rsidRPr="00F1211B">
              <w:rPr>
                <w:rFonts w:cs="Arial"/>
              </w:rPr>
              <w:t xml:space="preserve">. </w:t>
            </w:r>
          </w:p>
        </w:tc>
      </w:tr>
      <w:tr w:rsidR="0016727C" w14:paraId="602C54B4" w14:textId="77777777" w:rsidTr="00425557">
        <w:tc>
          <w:tcPr>
            <w:tcW w:w="613" w:type="pct"/>
          </w:tcPr>
          <w:p w14:paraId="46BDB751" w14:textId="77777777" w:rsidR="0016727C" w:rsidRDefault="0016727C" w:rsidP="00FC7AD1">
            <w:pPr>
              <w:spacing w:after="120" w:line="360" w:lineRule="auto"/>
            </w:pPr>
            <w:r>
              <w:t>4.9</w:t>
            </w:r>
          </w:p>
        </w:tc>
        <w:tc>
          <w:tcPr>
            <w:tcW w:w="4387" w:type="pct"/>
          </w:tcPr>
          <w:p w14:paraId="4E63A7E1" w14:textId="4A9B3AA1" w:rsidR="0016727C" w:rsidRPr="00FC7AD1" w:rsidRDefault="0016727C" w:rsidP="00FC7AD1">
            <w:pPr>
              <w:spacing w:after="120" w:line="360" w:lineRule="auto"/>
              <w:rPr>
                <w:rFonts w:cs="Arial"/>
              </w:rPr>
            </w:pPr>
            <w:r w:rsidRPr="00F1211B">
              <w:rPr>
                <w:rFonts w:cs="Arial"/>
              </w:rPr>
              <w:t>22.02.18 N</w:t>
            </w:r>
            <w:r>
              <w:rPr>
                <w:rFonts w:cs="Arial"/>
              </w:rPr>
              <w:t xml:space="preserve">ottingham </w:t>
            </w:r>
            <w:r w:rsidRPr="00F1211B">
              <w:rPr>
                <w:rFonts w:cs="Arial"/>
              </w:rPr>
              <w:t>U</w:t>
            </w:r>
            <w:r>
              <w:rPr>
                <w:rFonts w:cs="Arial"/>
              </w:rPr>
              <w:t xml:space="preserve">niversity </w:t>
            </w:r>
            <w:r w:rsidRPr="00F1211B">
              <w:rPr>
                <w:rFonts w:cs="Arial"/>
              </w:rPr>
              <w:t>H</w:t>
            </w:r>
            <w:r>
              <w:rPr>
                <w:rFonts w:cs="Arial"/>
              </w:rPr>
              <w:t>ospital</w:t>
            </w:r>
            <w:r w:rsidRPr="00F1211B">
              <w:rPr>
                <w:rFonts w:cs="Arial"/>
              </w:rPr>
              <w:t>. Mr M22 was admitted for vascular surgery due to left leg pain, ischaemic left leg</w:t>
            </w:r>
            <w:r>
              <w:rPr>
                <w:rFonts w:cs="Arial"/>
              </w:rPr>
              <w:t xml:space="preserve">, </w:t>
            </w:r>
            <w:r w:rsidRPr="00F1211B">
              <w:rPr>
                <w:rFonts w:cs="Arial"/>
              </w:rPr>
              <w:t xml:space="preserve">reduced </w:t>
            </w:r>
            <w:proofErr w:type="gramStart"/>
            <w:r w:rsidRPr="00F1211B">
              <w:rPr>
                <w:rFonts w:cs="Arial"/>
              </w:rPr>
              <w:t>sensation</w:t>
            </w:r>
            <w:proofErr w:type="gramEnd"/>
            <w:r w:rsidRPr="00F1211B">
              <w:rPr>
                <w:rFonts w:cs="Arial"/>
              </w:rPr>
              <w:t xml:space="preserve"> and motor function. He underwent a left high above knee amputation and right leg fasciotomy. Following this he had a prolonged stay in critical care. He was discharged on 05</w:t>
            </w:r>
            <w:r>
              <w:rPr>
                <w:rFonts w:cs="Arial"/>
              </w:rPr>
              <w:t>.</w:t>
            </w:r>
            <w:r w:rsidRPr="00F1211B">
              <w:rPr>
                <w:rFonts w:cs="Arial"/>
              </w:rPr>
              <w:t>04</w:t>
            </w:r>
            <w:r>
              <w:rPr>
                <w:rFonts w:cs="Arial"/>
              </w:rPr>
              <w:t>.</w:t>
            </w:r>
            <w:r w:rsidRPr="00F1211B">
              <w:rPr>
                <w:rFonts w:cs="Arial"/>
              </w:rPr>
              <w:t>18 with follow up arranged.</w:t>
            </w:r>
          </w:p>
        </w:tc>
      </w:tr>
      <w:tr w:rsidR="0016727C" w14:paraId="03A03459" w14:textId="77777777" w:rsidTr="00425557">
        <w:tc>
          <w:tcPr>
            <w:tcW w:w="613" w:type="pct"/>
          </w:tcPr>
          <w:p w14:paraId="1FBA61CC" w14:textId="77777777" w:rsidR="0016727C" w:rsidRDefault="0016727C" w:rsidP="00FC7AD1">
            <w:pPr>
              <w:spacing w:after="120" w:line="360" w:lineRule="auto"/>
            </w:pPr>
            <w:r>
              <w:t>4.10</w:t>
            </w:r>
          </w:p>
        </w:tc>
        <w:tc>
          <w:tcPr>
            <w:tcW w:w="4387" w:type="pct"/>
          </w:tcPr>
          <w:p w14:paraId="4A56EBC8" w14:textId="4024FFD1" w:rsidR="0016727C" w:rsidRPr="00FC7AD1" w:rsidRDefault="0016727C" w:rsidP="00FC7AD1">
            <w:pPr>
              <w:spacing w:after="120" w:line="360" w:lineRule="auto"/>
            </w:pPr>
            <w:r>
              <w:t xml:space="preserve">In November 2019 his relationship with his partner broke down. She then vacated the family home, leaving Mr M22’s son at the address acting as his </w:t>
            </w:r>
            <w:proofErr w:type="spellStart"/>
            <w:r>
              <w:t>carer</w:t>
            </w:r>
            <w:proofErr w:type="spellEnd"/>
            <w:r>
              <w:t xml:space="preserve">. </w:t>
            </w:r>
          </w:p>
        </w:tc>
      </w:tr>
      <w:tr w:rsidR="0016727C" w14:paraId="5D46C867" w14:textId="77777777" w:rsidTr="00425557">
        <w:tc>
          <w:tcPr>
            <w:tcW w:w="613" w:type="pct"/>
          </w:tcPr>
          <w:p w14:paraId="3404E1E5" w14:textId="77777777" w:rsidR="0016727C" w:rsidRDefault="0016727C" w:rsidP="00FC7AD1">
            <w:pPr>
              <w:spacing w:after="120" w:line="360" w:lineRule="auto"/>
            </w:pPr>
            <w:r>
              <w:t>4.11</w:t>
            </w:r>
          </w:p>
        </w:tc>
        <w:tc>
          <w:tcPr>
            <w:tcW w:w="4387" w:type="pct"/>
          </w:tcPr>
          <w:p w14:paraId="4BFA52C9" w14:textId="73C22B15" w:rsidR="0016727C" w:rsidRPr="00FC7AD1" w:rsidRDefault="0016727C" w:rsidP="00FC7AD1">
            <w:pPr>
              <w:spacing w:after="120" w:line="360" w:lineRule="auto"/>
              <w:rPr>
                <w:rFonts w:cs="Arial"/>
              </w:rPr>
            </w:pPr>
            <w:r>
              <w:rPr>
                <w:rFonts w:cs="Arial"/>
              </w:rPr>
              <w:t>In April 2021 an</w:t>
            </w:r>
            <w:r w:rsidRPr="00820895">
              <w:rPr>
                <w:rFonts w:cs="Arial"/>
              </w:rPr>
              <w:t xml:space="preserve"> O</w:t>
            </w:r>
            <w:r>
              <w:rPr>
                <w:rFonts w:cs="Arial"/>
              </w:rPr>
              <w:t xml:space="preserve">ccupational </w:t>
            </w:r>
            <w:r w:rsidRPr="00820895">
              <w:rPr>
                <w:rFonts w:cs="Arial"/>
              </w:rPr>
              <w:t>T</w:t>
            </w:r>
            <w:r>
              <w:rPr>
                <w:rFonts w:cs="Arial"/>
              </w:rPr>
              <w:t>herapist</w:t>
            </w:r>
            <w:r w:rsidRPr="00820895">
              <w:rPr>
                <w:rFonts w:cs="Arial"/>
              </w:rPr>
              <w:t xml:space="preserve"> </w:t>
            </w:r>
            <w:r>
              <w:rPr>
                <w:rFonts w:cs="Arial"/>
              </w:rPr>
              <w:t>(OT) fully assessed Mr M22 and identified that</w:t>
            </w:r>
            <w:r w:rsidRPr="00820895">
              <w:rPr>
                <w:rFonts w:cs="Arial"/>
              </w:rPr>
              <w:t xml:space="preserve"> major adaptations </w:t>
            </w:r>
            <w:r>
              <w:rPr>
                <w:rFonts w:cs="Arial"/>
              </w:rPr>
              <w:t>were necessary at his home. This was because Mr M22 was sleeping on a</w:t>
            </w:r>
            <w:r w:rsidRPr="00820895">
              <w:rPr>
                <w:rFonts w:cs="Arial"/>
              </w:rPr>
              <w:t xml:space="preserve"> hospital be</w:t>
            </w:r>
            <w:r>
              <w:rPr>
                <w:rFonts w:cs="Arial"/>
              </w:rPr>
              <w:t>d</w:t>
            </w:r>
            <w:r w:rsidRPr="00820895">
              <w:rPr>
                <w:rFonts w:cs="Arial"/>
              </w:rPr>
              <w:t xml:space="preserve"> in the living room</w:t>
            </w:r>
            <w:r>
              <w:rPr>
                <w:rFonts w:cs="Arial"/>
              </w:rPr>
              <w:t>.</w:t>
            </w:r>
            <w:r w:rsidRPr="00820895">
              <w:rPr>
                <w:rFonts w:cs="Arial"/>
              </w:rPr>
              <w:t xml:space="preserve"> </w:t>
            </w:r>
            <w:r>
              <w:rPr>
                <w:rFonts w:cs="Arial"/>
              </w:rPr>
              <w:t>F</w:t>
            </w:r>
            <w:r w:rsidRPr="00820895">
              <w:rPr>
                <w:rFonts w:cs="Arial"/>
              </w:rPr>
              <w:t xml:space="preserve">or </w:t>
            </w:r>
            <w:r>
              <w:rPr>
                <w:rFonts w:cs="Arial"/>
              </w:rPr>
              <w:t>the previous three</w:t>
            </w:r>
            <w:r w:rsidRPr="00820895">
              <w:rPr>
                <w:rFonts w:cs="Arial"/>
              </w:rPr>
              <w:t xml:space="preserve"> years he ha</w:t>
            </w:r>
            <w:r>
              <w:rPr>
                <w:rFonts w:cs="Arial"/>
              </w:rPr>
              <w:t>d</w:t>
            </w:r>
            <w:r w:rsidRPr="00820895">
              <w:rPr>
                <w:rFonts w:cs="Arial"/>
              </w:rPr>
              <w:t xml:space="preserve"> been unable to access </w:t>
            </w:r>
            <w:r>
              <w:rPr>
                <w:rFonts w:cs="Arial"/>
              </w:rPr>
              <w:t>the upstairs part of his home</w:t>
            </w:r>
            <w:r w:rsidRPr="00820895">
              <w:rPr>
                <w:rFonts w:cs="Arial"/>
              </w:rPr>
              <w:t xml:space="preserve"> and ha</w:t>
            </w:r>
            <w:r>
              <w:rPr>
                <w:rFonts w:cs="Arial"/>
              </w:rPr>
              <w:t>d</w:t>
            </w:r>
            <w:r w:rsidRPr="00820895">
              <w:rPr>
                <w:rFonts w:cs="Arial"/>
              </w:rPr>
              <w:t xml:space="preserve"> been reliant </w:t>
            </w:r>
            <w:r>
              <w:rPr>
                <w:rFonts w:cs="Arial"/>
              </w:rPr>
              <w:t>up</w:t>
            </w:r>
            <w:r w:rsidRPr="00820895">
              <w:rPr>
                <w:rFonts w:cs="Arial"/>
              </w:rPr>
              <w:t xml:space="preserve">on </w:t>
            </w:r>
            <w:r>
              <w:rPr>
                <w:rFonts w:cs="Arial"/>
              </w:rPr>
              <w:t xml:space="preserve">his </w:t>
            </w:r>
            <w:r w:rsidRPr="00820895">
              <w:rPr>
                <w:rFonts w:cs="Arial"/>
              </w:rPr>
              <w:t>son for care</w:t>
            </w:r>
            <w:r>
              <w:rPr>
                <w:rFonts w:cs="Arial"/>
              </w:rPr>
              <w:t xml:space="preserve"> and </w:t>
            </w:r>
            <w:r w:rsidRPr="00820895">
              <w:rPr>
                <w:rFonts w:cs="Arial"/>
              </w:rPr>
              <w:t>support.</w:t>
            </w:r>
          </w:p>
        </w:tc>
      </w:tr>
      <w:tr w:rsidR="0016727C" w14:paraId="1381097D" w14:textId="77777777" w:rsidTr="00425557">
        <w:tc>
          <w:tcPr>
            <w:tcW w:w="613" w:type="pct"/>
          </w:tcPr>
          <w:p w14:paraId="7F82FA05" w14:textId="77777777" w:rsidR="0016727C" w:rsidRDefault="0016727C" w:rsidP="00FC7AD1">
            <w:pPr>
              <w:spacing w:after="120" w:line="360" w:lineRule="auto"/>
            </w:pPr>
            <w:r>
              <w:t>4.12</w:t>
            </w:r>
          </w:p>
        </w:tc>
        <w:tc>
          <w:tcPr>
            <w:tcW w:w="4387" w:type="pct"/>
          </w:tcPr>
          <w:p w14:paraId="502E18FA" w14:textId="7AFBC760" w:rsidR="0016727C" w:rsidRDefault="0016727C" w:rsidP="00FC7AD1">
            <w:pPr>
              <w:spacing w:after="120" w:line="360" w:lineRule="auto"/>
              <w:rPr>
                <w:rFonts w:cs="Arial"/>
              </w:rPr>
            </w:pPr>
            <w:r>
              <w:rPr>
                <w:rFonts w:cs="Arial"/>
              </w:rPr>
              <w:t xml:space="preserve">Within this meeting Mr M22 had stated that since his operation </w:t>
            </w:r>
            <w:r w:rsidRPr="00820895">
              <w:rPr>
                <w:rFonts w:cs="Arial"/>
              </w:rPr>
              <w:t>he forg</w:t>
            </w:r>
            <w:r>
              <w:rPr>
                <w:rFonts w:cs="Arial"/>
              </w:rPr>
              <w:t xml:space="preserve">ot </w:t>
            </w:r>
            <w:r w:rsidRPr="00820895">
              <w:rPr>
                <w:rFonts w:cs="Arial"/>
              </w:rPr>
              <w:t>a lot of things</w:t>
            </w:r>
            <w:r>
              <w:rPr>
                <w:rFonts w:cs="Arial"/>
              </w:rPr>
              <w:t xml:space="preserve"> and relied upon his</w:t>
            </w:r>
            <w:r w:rsidRPr="00820895">
              <w:rPr>
                <w:rFonts w:cs="Arial"/>
              </w:rPr>
              <w:t xml:space="preserve"> son </w:t>
            </w:r>
            <w:r>
              <w:rPr>
                <w:rFonts w:cs="Arial"/>
              </w:rPr>
              <w:t xml:space="preserve">for his </w:t>
            </w:r>
            <w:proofErr w:type="gramStart"/>
            <w:r>
              <w:rPr>
                <w:rFonts w:cs="Arial"/>
              </w:rPr>
              <w:t>day to day</w:t>
            </w:r>
            <w:proofErr w:type="gramEnd"/>
            <w:r>
              <w:rPr>
                <w:rFonts w:cs="Arial"/>
              </w:rPr>
              <w:t xml:space="preserve"> </w:t>
            </w:r>
            <w:r w:rsidRPr="00820895">
              <w:rPr>
                <w:rFonts w:cs="Arial"/>
              </w:rPr>
              <w:t xml:space="preserve">care. </w:t>
            </w:r>
            <w:r>
              <w:rPr>
                <w:rFonts w:cs="Arial"/>
              </w:rPr>
              <w:t xml:space="preserve">He had been told by the council that he was going to be moved but had been waiting three years for this to happen. A Care and </w:t>
            </w:r>
            <w:proofErr w:type="gramStart"/>
            <w:r>
              <w:rPr>
                <w:rFonts w:cs="Arial"/>
              </w:rPr>
              <w:t>Support  Assessment</w:t>
            </w:r>
            <w:proofErr w:type="gramEnd"/>
            <w:r>
              <w:rPr>
                <w:rFonts w:cs="Arial"/>
              </w:rPr>
              <w:t xml:space="preserve"> (CASA) was requested to establish the amount of support that was required.  </w:t>
            </w:r>
          </w:p>
        </w:tc>
      </w:tr>
      <w:tr w:rsidR="0016727C" w14:paraId="01B1A0BC" w14:textId="77777777" w:rsidTr="00425557">
        <w:tc>
          <w:tcPr>
            <w:tcW w:w="613" w:type="pct"/>
          </w:tcPr>
          <w:p w14:paraId="5855ABA5" w14:textId="77777777" w:rsidR="0016727C" w:rsidRDefault="0016727C" w:rsidP="00FC7AD1">
            <w:pPr>
              <w:spacing w:after="120" w:line="360" w:lineRule="auto"/>
            </w:pPr>
            <w:r>
              <w:t>4.13</w:t>
            </w:r>
          </w:p>
        </w:tc>
        <w:tc>
          <w:tcPr>
            <w:tcW w:w="4387" w:type="pct"/>
          </w:tcPr>
          <w:p w14:paraId="3A08E122" w14:textId="281CACBB" w:rsidR="0016727C" w:rsidRPr="00820895" w:rsidRDefault="0016727C" w:rsidP="00FC7AD1">
            <w:pPr>
              <w:pStyle w:val="NormalWeb"/>
              <w:spacing w:before="0" w:beforeAutospacing="0" w:after="120" w:afterAutospacing="0" w:line="360" w:lineRule="auto"/>
              <w:textAlignment w:val="baseline"/>
              <w:rPr>
                <w:rFonts w:asciiTheme="minorHAnsi" w:hAnsiTheme="minorHAnsi" w:cs="Arial"/>
              </w:rPr>
            </w:pPr>
            <w:r w:rsidRPr="00820895">
              <w:rPr>
                <w:rFonts w:asciiTheme="minorHAnsi" w:hAnsiTheme="minorHAnsi" w:cs="Arial"/>
              </w:rPr>
              <w:t xml:space="preserve">12.05.21 </w:t>
            </w:r>
            <w:r>
              <w:rPr>
                <w:rFonts w:asciiTheme="minorHAnsi" w:hAnsiTheme="minorHAnsi" w:cs="Arial"/>
              </w:rPr>
              <w:t>a social worker</w:t>
            </w:r>
            <w:r w:rsidRPr="00820895">
              <w:rPr>
                <w:rFonts w:asciiTheme="minorHAnsi" w:hAnsiTheme="minorHAnsi" w:cs="Arial"/>
              </w:rPr>
              <w:t xml:space="preserve"> visited Mr M22 at </w:t>
            </w:r>
            <w:r>
              <w:rPr>
                <w:rFonts w:asciiTheme="minorHAnsi" w:hAnsiTheme="minorHAnsi" w:cs="Arial"/>
              </w:rPr>
              <w:t xml:space="preserve">his </w:t>
            </w:r>
            <w:r w:rsidRPr="00820895">
              <w:rPr>
                <w:rFonts w:asciiTheme="minorHAnsi" w:hAnsiTheme="minorHAnsi" w:cs="Arial"/>
              </w:rPr>
              <w:t xml:space="preserve">home address </w:t>
            </w:r>
            <w:r>
              <w:rPr>
                <w:rFonts w:asciiTheme="minorHAnsi" w:hAnsiTheme="minorHAnsi" w:cs="Arial"/>
              </w:rPr>
              <w:t>to complete an assessment with him and his son</w:t>
            </w:r>
            <w:r w:rsidRPr="00820895">
              <w:rPr>
                <w:rFonts w:asciiTheme="minorHAnsi" w:hAnsiTheme="minorHAnsi" w:cs="Arial"/>
              </w:rPr>
              <w:t>.</w:t>
            </w:r>
            <w:r>
              <w:rPr>
                <w:rFonts w:asciiTheme="minorHAnsi" w:hAnsiTheme="minorHAnsi" w:cs="Arial"/>
              </w:rPr>
              <w:t xml:space="preserve"> The</w:t>
            </w:r>
            <w:r w:rsidRPr="00820895">
              <w:rPr>
                <w:rFonts w:asciiTheme="minorHAnsi" w:hAnsiTheme="minorHAnsi" w:cs="Arial"/>
              </w:rPr>
              <w:t xml:space="preserve"> financial charge</w:t>
            </w:r>
            <w:r>
              <w:rPr>
                <w:rFonts w:asciiTheme="minorHAnsi" w:hAnsiTheme="minorHAnsi" w:cs="Arial"/>
              </w:rPr>
              <w:t xml:space="preserve"> for care was explained </w:t>
            </w:r>
            <w:r>
              <w:rPr>
                <w:rFonts w:asciiTheme="minorHAnsi" w:hAnsiTheme="minorHAnsi" w:cs="Arial"/>
              </w:rPr>
              <w:lastRenderedPageBreak/>
              <w:t>and he was pro</w:t>
            </w:r>
            <w:r w:rsidRPr="00820895">
              <w:rPr>
                <w:rFonts w:asciiTheme="minorHAnsi" w:hAnsiTheme="minorHAnsi" w:cs="Arial"/>
              </w:rPr>
              <w:t xml:space="preserve">vided </w:t>
            </w:r>
            <w:r>
              <w:rPr>
                <w:rFonts w:asciiTheme="minorHAnsi" w:hAnsiTheme="minorHAnsi" w:cs="Arial"/>
              </w:rPr>
              <w:t xml:space="preserve">with the </w:t>
            </w:r>
            <w:r w:rsidRPr="00820895">
              <w:rPr>
                <w:rFonts w:asciiTheme="minorHAnsi" w:hAnsiTheme="minorHAnsi" w:cs="Arial"/>
              </w:rPr>
              <w:t>NCC factsheet on "Paying for Care"</w:t>
            </w:r>
            <w:r>
              <w:rPr>
                <w:rFonts w:asciiTheme="minorHAnsi" w:hAnsiTheme="minorHAnsi" w:cs="Arial"/>
              </w:rPr>
              <w:t>.</w:t>
            </w:r>
            <w:r w:rsidRPr="00820895">
              <w:rPr>
                <w:rFonts w:asciiTheme="minorHAnsi" w:hAnsiTheme="minorHAnsi" w:cs="Arial"/>
              </w:rPr>
              <w:t xml:space="preserve"> Mr M22 explain</w:t>
            </w:r>
            <w:r>
              <w:rPr>
                <w:rFonts w:asciiTheme="minorHAnsi" w:hAnsiTheme="minorHAnsi" w:cs="Arial"/>
              </w:rPr>
              <w:t>ed that</w:t>
            </w:r>
            <w:r w:rsidRPr="00820895">
              <w:rPr>
                <w:rFonts w:asciiTheme="minorHAnsi" w:hAnsiTheme="minorHAnsi" w:cs="Arial"/>
              </w:rPr>
              <w:t xml:space="preserve"> he struggle</w:t>
            </w:r>
            <w:r>
              <w:rPr>
                <w:rFonts w:asciiTheme="minorHAnsi" w:hAnsiTheme="minorHAnsi" w:cs="Arial"/>
              </w:rPr>
              <w:t>d</w:t>
            </w:r>
            <w:r w:rsidRPr="00820895">
              <w:rPr>
                <w:rFonts w:asciiTheme="minorHAnsi" w:hAnsiTheme="minorHAnsi" w:cs="Arial"/>
              </w:rPr>
              <w:t xml:space="preserve"> with reading and writing but </w:t>
            </w:r>
            <w:r>
              <w:rPr>
                <w:rFonts w:asciiTheme="minorHAnsi" w:hAnsiTheme="minorHAnsi" w:cs="Arial"/>
              </w:rPr>
              <w:t xml:space="preserve">his </w:t>
            </w:r>
            <w:r w:rsidRPr="00820895">
              <w:rPr>
                <w:rFonts w:asciiTheme="minorHAnsi" w:hAnsiTheme="minorHAnsi" w:cs="Arial"/>
              </w:rPr>
              <w:t xml:space="preserve">son </w:t>
            </w:r>
            <w:r>
              <w:rPr>
                <w:rFonts w:asciiTheme="minorHAnsi" w:hAnsiTheme="minorHAnsi" w:cs="Arial"/>
              </w:rPr>
              <w:t>would</w:t>
            </w:r>
            <w:r w:rsidRPr="00820895">
              <w:rPr>
                <w:rFonts w:asciiTheme="minorHAnsi" w:hAnsiTheme="minorHAnsi" w:cs="Arial"/>
              </w:rPr>
              <w:t xml:space="preserve"> support </w:t>
            </w:r>
            <w:r>
              <w:rPr>
                <w:rFonts w:asciiTheme="minorHAnsi" w:hAnsiTheme="minorHAnsi" w:cs="Arial"/>
              </w:rPr>
              <w:t xml:space="preserve">him </w:t>
            </w:r>
            <w:r w:rsidRPr="00820895">
              <w:rPr>
                <w:rFonts w:asciiTheme="minorHAnsi" w:hAnsiTheme="minorHAnsi" w:cs="Arial"/>
              </w:rPr>
              <w:t xml:space="preserve">with this. After the assessment Mr M22 and his son </w:t>
            </w:r>
            <w:r>
              <w:rPr>
                <w:rFonts w:asciiTheme="minorHAnsi" w:hAnsiTheme="minorHAnsi" w:cs="Arial"/>
              </w:rPr>
              <w:t xml:space="preserve">were </w:t>
            </w:r>
            <w:r w:rsidRPr="00820895">
              <w:rPr>
                <w:rFonts w:asciiTheme="minorHAnsi" w:hAnsiTheme="minorHAnsi" w:cs="Arial"/>
              </w:rPr>
              <w:t xml:space="preserve">advised to </w:t>
            </w:r>
            <w:r>
              <w:rPr>
                <w:rFonts w:asciiTheme="minorHAnsi" w:hAnsiTheme="minorHAnsi" w:cs="Arial"/>
              </w:rPr>
              <w:t xml:space="preserve">decide </w:t>
            </w:r>
            <w:r w:rsidRPr="00820895">
              <w:rPr>
                <w:rFonts w:asciiTheme="minorHAnsi" w:hAnsiTheme="minorHAnsi" w:cs="Arial"/>
              </w:rPr>
              <w:t xml:space="preserve">what </w:t>
            </w:r>
            <w:proofErr w:type="gramStart"/>
            <w:r w:rsidRPr="00820895">
              <w:rPr>
                <w:rFonts w:asciiTheme="minorHAnsi" w:hAnsiTheme="minorHAnsi" w:cs="Arial"/>
              </w:rPr>
              <w:t>support</w:t>
            </w:r>
            <w:proofErr w:type="gramEnd"/>
            <w:r w:rsidRPr="00820895">
              <w:rPr>
                <w:rFonts w:asciiTheme="minorHAnsi" w:hAnsiTheme="minorHAnsi" w:cs="Arial"/>
              </w:rPr>
              <w:t xml:space="preserve"> they fe</w:t>
            </w:r>
            <w:r>
              <w:rPr>
                <w:rFonts w:asciiTheme="minorHAnsi" w:hAnsiTheme="minorHAnsi" w:cs="Arial"/>
              </w:rPr>
              <w:t>lt was</w:t>
            </w:r>
            <w:r w:rsidRPr="00820895">
              <w:rPr>
                <w:rFonts w:asciiTheme="minorHAnsi" w:hAnsiTheme="minorHAnsi" w:cs="Arial"/>
              </w:rPr>
              <w:t xml:space="preserve"> required and specifically</w:t>
            </w:r>
            <w:r>
              <w:rPr>
                <w:rFonts w:asciiTheme="minorHAnsi" w:hAnsiTheme="minorHAnsi" w:cs="Arial"/>
              </w:rPr>
              <w:t xml:space="preserve"> if Mr M22’s</w:t>
            </w:r>
            <w:r w:rsidRPr="00820895">
              <w:rPr>
                <w:rFonts w:asciiTheme="minorHAnsi" w:hAnsiTheme="minorHAnsi" w:cs="Arial"/>
              </w:rPr>
              <w:t xml:space="preserve"> son needing to step back from his caring role immediately</w:t>
            </w:r>
            <w:r>
              <w:rPr>
                <w:rFonts w:asciiTheme="minorHAnsi" w:hAnsiTheme="minorHAnsi" w:cs="Arial"/>
              </w:rPr>
              <w:t>,</w:t>
            </w:r>
            <w:r w:rsidRPr="00820895">
              <w:rPr>
                <w:rFonts w:asciiTheme="minorHAnsi" w:hAnsiTheme="minorHAnsi" w:cs="Arial"/>
              </w:rPr>
              <w:t xml:space="preserve"> or</w:t>
            </w:r>
            <w:r>
              <w:rPr>
                <w:rFonts w:asciiTheme="minorHAnsi" w:hAnsiTheme="minorHAnsi" w:cs="Arial"/>
              </w:rPr>
              <w:t xml:space="preserve"> was</w:t>
            </w:r>
            <w:r w:rsidRPr="00820895">
              <w:rPr>
                <w:rFonts w:asciiTheme="minorHAnsi" w:hAnsiTheme="minorHAnsi" w:cs="Arial"/>
              </w:rPr>
              <w:t xml:space="preserve"> there </w:t>
            </w:r>
            <w:r>
              <w:rPr>
                <w:rFonts w:asciiTheme="minorHAnsi" w:hAnsiTheme="minorHAnsi" w:cs="Arial"/>
              </w:rPr>
              <w:t xml:space="preserve">a </w:t>
            </w:r>
            <w:r w:rsidRPr="00820895">
              <w:rPr>
                <w:rFonts w:asciiTheme="minorHAnsi" w:hAnsiTheme="minorHAnsi" w:cs="Arial"/>
              </w:rPr>
              <w:t xml:space="preserve">need for some respite?   </w:t>
            </w:r>
          </w:p>
        </w:tc>
      </w:tr>
      <w:tr w:rsidR="0016727C" w14:paraId="1AB126C9" w14:textId="77777777" w:rsidTr="00425557">
        <w:tc>
          <w:tcPr>
            <w:tcW w:w="613" w:type="pct"/>
          </w:tcPr>
          <w:p w14:paraId="166FF56F" w14:textId="77777777" w:rsidR="0016727C" w:rsidRDefault="0016727C" w:rsidP="00FC7AD1">
            <w:pPr>
              <w:spacing w:after="120" w:line="360" w:lineRule="auto"/>
            </w:pPr>
            <w:r>
              <w:lastRenderedPageBreak/>
              <w:t>4.14</w:t>
            </w:r>
          </w:p>
        </w:tc>
        <w:tc>
          <w:tcPr>
            <w:tcW w:w="4387" w:type="pct"/>
          </w:tcPr>
          <w:p w14:paraId="645E8F6D" w14:textId="6F1B4956" w:rsidR="0016727C" w:rsidRPr="00FC7AD1" w:rsidRDefault="0016727C" w:rsidP="00FC7AD1">
            <w:pPr>
              <w:pStyle w:val="NormalWeb"/>
              <w:spacing w:before="0" w:beforeAutospacing="0" w:after="120" w:afterAutospacing="0" w:line="360" w:lineRule="auto"/>
              <w:textAlignment w:val="baseline"/>
              <w:rPr>
                <w:rFonts w:asciiTheme="minorHAnsi" w:hAnsiTheme="minorHAnsi" w:cs="Arial"/>
              </w:rPr>
            </w:pPr>
            <w:r w:rsidRPr="00820895">
              <w:rPr>
                <w:rFonts w:asciiTheme="minorHAnsi" w:hAnsiTheme="minorHAnsi" w:cs="Arial"/>
              </w:rPr>
              <w:t xml:space="preserve">02.06.21 </w:t>
            </w:r>
            <w:r>
              <w:rPr>
                <w:rFonts w:asciiTheme="minorHAnsi" w:hAnsiTheme="minorHAnsi" w:cs="Arial"/>
              </w:rPr>
              <w:t xml:space="preserve">Mr M22 contacted </w:t>
            </w:r>
            <w:proofErr w:type="gramStart"/>
            <w:r>
              <w:rPr>
                <w:rFonts w:asciiTheme="minorHAnsi" w:hAnsiTheme="minorHAnsi" w:cs="Arial"/>
              </w:rPr>
              <w:t>Social</w:t>
            </w:r>
            <w:proofErr w:type="gramEnd"/>
            <w:r>
              <w:rPr>
                <w:rFonts w:asciiTheme="minorHAnsi" w:hAnsiTheme="minorHAnsi" w:cs="Arial"/>
              </w:rPr>
              <w:t xml:space="preserve"> services and</w:t>
            </w:r>
            <w:r w:rsidRPr="00820895">
              <w:rPr>
                <w:rFonts w:asciiTheme="minorHAnsi" w:hAnsiTheme="minorHAnsi" w:cs="Arial"/>
              </w:rPr>
              <w:t xml:space="preserve"> </w:t>
            </w:r>
            <w:r>
              <w:rPr>
                <w:rFonts w:asciiTheme="minorHAnsi" w:hAnsiTheme="minorHAnsi" w:cs="Arial"/>
              </w:rPr>
              <w:t>informed them that</w:t>
            </w:r>
            <w:r w:rsidRPr="00820895">
              <w:rPr>
                <w:rFonts w:asciiTheme="minorHAnsi" w:hAnsiTheme="minorHAnsi" w:cs="Arial"/>
              </w:rPr>
              <w:t xml:space="preserve"> he</w:t>
            </w:r>
            <w:r>
              <w:rPr>
                <w:rFonts w:asciiTheme="minorHAnsi" w:hAnsiTheme="minorHAnsi" w:cs="Arial"/>
              </w:rPr>
              <w:t xml:space="preserve"> did </w:t>
            </w:r>
            <w:r w:rsidRPr="00820895">
              <w:rPr>
                <w:rFonts w:asciiTheme="minorHAnsi" w:hAnsiTheme="minorHAnsi" w:cs="Arial"/>
              </w:rPr>
              <w:t>need support, especially to give his son a break and a "life"</w:t>
            </w:r>
            <w:r>
              <w:rPr>
                <w:rFonts w:asciiTheme="minorHAnsi" w:hAnsiTheme="minorHAnsi" w:cs="Arial"/>
              </w:rPr>
              <w:t>.</w:t>
            </w:r>
            <w:r w:rsidRPr="00820895">
              <w:rPr>
                <w:rFonts w:asciiTheme="minorHAnsi" w:hAnsiTheme="minorHAnsi" w:cs="Arial"/>
              </w:rPr>
              <w:t xml:space="preserve"> Mr M22 said he c</w:t>
            </w:r>
            <w:r>
              <w:rPr>
                <w:rFonts w:asciiTheme="minorHAnsi" w:hAnsiTheme="minorHAnsi" w:cs="Arial"/>
              </w:rPr>
              <w:t>ould not</w:t>
            </w:r>
            <w:r w:rsidRPr="00820895">
              <w:rPr>
                <w:rFonts w:asciiTheme="minorHAnsi" w:hAnsiTheme="minorHAnsi" w:cs="Arial"/>
              </w:rPr>
              <w:t xml:space="preserve"> </w:t>
            </w:r>
            <w:proofErr w:type="gramStart"/>
            <w:r w:rsidRPr="00820895">
              <w:rPr>
                <w:rFonts w:asciiTheme="minorHAnsi" w:hAnsiTheme="minorHAnsi" w:cs="Arial"/>
              </w:rPr>
              <w:t>read</w:t>
            </w:r>
            <w:proofErr w:type="gramEnd"/>
            <w:r w:rsidRPr="00820895">
              <w:rPr>
                <w:rFonts w:asciiTheme="minorHAnsi" w:hAnsiTheme="minorHAnsi" w:cs="Arial"/>
              </w:rPr>
              <w:t xml:space="preserve"> and </w:t>
            </w:r>
            <w:r>
              <w:rPr>
                <w:rFonts w:asciiTheme="minorHAnsi" w:hAnsiTheme="minorHAnsi" w:cs="Arial"/>
              </w:rPr>
              <w:t xml:space="preserve">his </w:t>
            </w:r>
            <w:r w:rsidRPr="00820895">
              <w:rPr>
                <w:rFonts w:asciiTheme="minorHAnsi" w:hAnsiTheme="minorHAnsi" w:cs="Arial"/>
              </w:rPr>
              <w:t>son ha</w:t>
            </w:r>
            <w:r>
              <w:rPr>
                <w:rFonts w:asciiTheme="minorHAnsi" w:hAnsiTheme="minorHAnsi" w:cs="Arial"/>
              </w:rPr>
              <w:t>d</w:t>
            </w:r>
            <w:r w:rsidRPr="00820895">
              <w:rPr>
                <w:rFonts w:asciiTheme="minorHAnsi" w:hAnsiTheme="minorHAnsi" w:cs="Arial"/>
              </w:rPr>
              <w:t xml:space="preserve"> offered to help</w:t>
            </w:r>
            <w:r>
              <w:rPr>
                <w:rFonts w:asciiTheme="minorHAnsi" w:hAnsiTheme="minorHAnsi" w:cs="Arial"/>
              </w:rPr>
              <w:t>.</w:t>
            </w:r>
            <w:r w:rsidRPr="00820895">
              <w:rPr>
                <w:rFonts w:asciiTheme="minorHAnsi" w:hAnsiTheme="minorHAnsi" w:cs="Arial"/>
              </w:rPr>
              <w:t xml:space="preserve"> It was agreed</w:t>
            </w:r>
            <w:r>
              <w:rPr>
                <w:rFonts w:asciiTheme="minorHAnsi" w:hAnsiTheme="minorHAnsi" w:cs="Arial"/>
              </w:rPr>
              <w:t xml:space="preserve"> that the social worker would</w:t>
            </w:r>
            <w:r w:rsidRPr="00820895">
              <w:rPr>
                <w:rFonts w:asciiTheme="minorHAnsi" w:hAnsiTheme="minorHAnsi" w:cs="Arial"/>
              </w:rPr>
              <w:t xml:space="preserve"> contact A</w:t>
            </w:r>
            <w:r>
              <w:rPr>
                <w:rFonts w:asciiTheme="minorHAnsi" w:hAnsiTheme="minorHAnsi" w:cs="Arial"/>
              </w:rPr>
              <w:t xml:space="preserve">dult </w:t>
            </w:r>
            <w:r w:rsidRPr="00820895">
              <w:rPr>
                <w:rFonts w:asciiTheme="minorHAnsi" w:hAnsiTheme="minorHAnsi" w:cs="Arial"/>
              </w:rPr>
              <w:t>C</w:t>
            </w:r>
            <w:r>
              <w:rPr>
                <w:rFonts w:asciiTheme="minorHAnsi" w:hAnsiTheme="minorHAnsi" w:cs="Arial"/>
              </w:rPr>
              <w:t xml:space="preserve">are </w:t>
            </w:r>
            <w:r w:rsidRPr="00820895">
              <w:rPr>
                <w:rFonts w:asciiTheme="minorHAnsi" w:hAnsiTheme="minorHAnsi" w:cs="Arial"/>
              </w:rPr>
              <w:t>F</w:t>
            </w:r>
            <w:r>
              <w:rPr>
                <w:rFonts w:asciiTheme="minorHAnsi" w:hAnsiTheme="minorHAnsi" w:cs="Arial"/>
              </w:rPr>
              <w:t xml:space="preserve">inancial </w:t>
            </w:r>
            <w:r w:rsidRPr="00820895">
              <w:rPr>
                <w:rFonts w:asciiTheme="minorHAnsi" w:hAnsiTheme="minorHAnsi" w:cs="Arial"/>
              </w:rPr>
              <w:t>S</w:t>
            </w:r>
            <w:r>
              <w:rPr>
                <w:rFonts w:asciiTheme="minorHAnsi" w:hAnsiTheme="minorHAnsi" w:cs="Arial"/>
              </w:rPr>
              <w:t>ervices (ACFS)</w:t>
            </w:r>
            <w:r w:rsidRPr="00820895">
              <w:rPr>
                <w:rFonts w:asciiTheme="minorHAnsi" w:hAnsiTheme="minorHAnsi" w:cs="Arial"/>
              </w:rPr>
              <w:t xml:space="preserve"> to see if they can visit to support with completing the form.</w:t>
            </w:r>
          </w:p>
        </w:tc>
      </w:tr>
      <w:tr w:rsidR="0016727C" w14:paraId="2024938D" w14:textId="77777777" w:rsidTr="00425557">
        <w:tc>
          <w:tcPr>
            <w:tcW w:w="613" w:type="pct"/>
          </w:tcPr>
          <w:p w14:paraId="1929ACDC" w14:textId="77777777" w:rsidR="0016727C" w:rsidRDefault="0016727C" w:rsidP="00FC7AD1">
            <w:pPr>
              <w:spacing w:after="120" w:line="360" w:lineRule="auto"/>
            </w:pPr>
            <w:r>
              <w:t>4.15</w:t>
            </w:r>
          </w:p>
        </w:tc>
        <w:tc>
          <w:tcPr>
            <w:tcW w:w="4387" w:type="pct"/>
          </w:tcPr>
          <w:p w14:paraId="6ED94478" w14:textId="77777777" w:rsidR="0016727C" w:rsidRPr="00820895" w:rsidRDefault="0016727C" w:rsidP="00FC7AD1">
            <w:pPr>
              <w:pStyle w:val="NormalWeb"/>
              <w:spacing w:before="0" w:beforeAutospacing="0" w:after="120" w:afterAutospacing="0" w:line="360" w:lineRule="auto"/>
              <w:textAlignment w:val="baseline"/>
              <w:rPr>
                <w:rFonts w:asciiTheme="minorHAnsi" w:hAnsiTheme="minorHAnsi" w:cs="Arial"/>
              </w:rPr>
            </w:pPr>
            <w:r w:rsidRPr="00820895">
              <w:rPr>
                <w:rFonts w:asciiTheme="minorHAnsi" w:hAnsiTheme="minorHAnsi" w:cs="Arial"/>
              </w:rPr>
              <w:t>Mr M22</w:t>
            </w:r>
            <w:r>
              <w:rPr>
                <w:rFonts w:asciiTheme="minorHAnsi" w:hAnsiTheme="minorHAnsi" w:cs="Arial"/>
              </w:rPr>
              <w:t xml:space="preserve"> </w:t>
            </w:r>
            <w:r w:rsidRPr="00820895">
              <w:rPr>
                <w:rFonts w:asciiTheme="minorHAnsi" w:hAnsiTheme="minorHAnsi" w:cs="Arial"/>
              </w:rPr>
              <w:t xml:space="preserve">said that he </w:t>
            </w:r>
            <w:r>
              <w:rPr>
                <w:rFonts w:asciiTheme="minorHAnsi" w:hAnsiTheme="minorHAnsi" w:cs="Arial"/>
              </w:rPr>
              <w:t>was</w:t>
            </w:r>
            <w:r w:rsidRPr="00820895">
              <w:rPr>
                <w:rFonts w:asciiTheme="minorHAnsi" w:hAnsiTheme="minorHAnsi" w:cs="Arial"/>
              </w:rPr>
              <w:t xml:space="preserve"> struggling with his mental health, he </w:t>
            </w:r>
            <w:r>
              <w:rPr>
                <w:rFonts w:asciiTheme="minorHAnsi" w:hAnsiTheme="minorHAnsi" w:cs="Arial"/>
              </w:rPr>
              <w:t xml:space="preserve">wasn’t </w:t>
            </w:r>
            <w:r w:rsidRPr="00820895">
              <w:rPr>
                <w:rFonts w:asciiTheme="minorHAnsi" w:hAnsiTheme="minorHAnsi" w:cs="Arial"/>
              </w:rPr>
              <w:t xml:space="preserve">sleeping, so he </w:t>
            </w:r>
            <w:proofErr w:type="gramStart"/>
            <w:r>
              <w:rPr>
                <w:rFonts w:asciiTheme="minorHAnsi" w:hAnsiTheme="minorHAnsi" w:cs="Arial"/>
              </w:rPr>
              <w:t xml:space="preserve">couldn’t </w:t>
            </w:r>
            <w:r w:rsidRPr="00820895">
              <w:rPr>
                <w:rFonts w:asciiTheme="minorHAnsi" w:hAnsiTheme="minorHAnsi" w:cs="Arial"/>
              </w:rPr>
              <w:t xml:space="preserve"> get</w:t>
            </w:r>
            <w:proofErr w:type="gramEnd"/>
            <w:r w:rsidRPr="00820895">
              <w:rPr>
                <w:rFonts w:asciiTheme="minorHAnsi" w:hAnsiTheme="minorHAnsi" w:cs="Arial"/>
              </w:rPr>
              <w:t xml:space="preserve"> up in the morning and by the time he r</w:t>
            </w:r>
            <w:r>
              <w:rPr>
                <w:rFonts w:asciiTheme="minorHAnsi" w:hAnsiTheme="minorHAnsi" w:cs="Arial"/>
              </w:rPr>
              <w:t>ang</w:t>
            </w:r>
            <w:r w:rsidRPr="00820895">
              <w:rPr>
                <w:rFonts w:asciiTheme="minorHAnsi" w:hAnsiTheme="minorHAnsi" w:cs="Arial"/>
              </w:rPr>
              <w:t xml:space="preserve"> the GP all the appointments </w:t>
            </w:r>
            <w:r>
              <w:rPr>
                <w:rFonts w:asciiTheme="minorHAnsi" w:hAnsiTheme="minorHAnsi" w:cs="Arial"/>
              </w:rPr>
              <w:t>were</w:t>
            </w:r>
            <w:r w:rsidRPr="00820895">
              <w:rPr>
                <w:rFonts w:asciiTheme="minorHAnsi" w:hAnsiTheme="minorHAnsi" w:cs="Arial"/>
              </w:rPr>
              <w:t xml:space="preserve"> gone</w:t>
            </w:r>
            <w:r>
              <w:rPr>
                <w:rFonts w:asciiTheme="minorHAnsi" w:hAnsiTheme="minorHAnsi" w:cs="Arial"/>
              </w:rPr>
              <w:t xml:space="preserve">. </w:t>
            </w:r>
            <w:r w:rsidRPr="00820895">
              <w:rPr>
                <w:rFonts w:asciiTheme="minorHAnsi" w:hAnsiTheme="minorHAnsi" w:cs="Arial"/>
              </w:rPr>
              <w:t xml:space="preserve">He </w:t>
            </w:r>
            <w:r>
              <w:rPr>
                <w:rFonts w:asciiTheme="minorHAnsi" w:hAnsiTheme="minorHAnsi" w:cs="Arial"/>
              </w:rPr>
              <w:t xml:space="preserve">explained that he was having thoughts about </w:t>
            </w:r>
            <w:proofErr w:type="spellStart"/>
            <w:r>
              <w:rPr>
                <w:rFonts w:asciiTheme="minorHAnsi" w:hAnsiTheme="minorHAnsi" w:cs="Arial"/>
              </w:rPr>
              <w:t xml:space="preserve">self </w:t>
            </w:r>
            <w:proofErr w:type="gramStart"/>
            <w:r>
              <w:rPr>
                <w:rFonts w:asciiTheme="minorHAnsi" w:hAnsiTheme="minorHAnsi" w:cs="Arial"/>
              </w:rPr>
              <w:t>harm</w:t>
            </w:r>
            <w:proofErr w:type="spellEnd"/>
            <w:r>
              <w:rPr>
                <w:rFonts w:asciiTheme="minorHAnsi" w:hAnsiTheme="minorHAnsi" w:cs="Arial"/>
              </w:rPr>
              <w:t>, but</w:t>
            </w:r>
            <w:proofErr w:type="gramEnd"/>
            <w:r>
              <w:rPr>
                <w:rFonts w:asciiTheme="minorHAnsi" w:hAnsiTheme="minorHAnsi" w:cs="Arial"/>
              </w:rPr>
              <w:t xml:space="preserve"> declined the number for</w:t>
            </w:r>
            <w:r w:rsidRPr="00820895">
              <w:rPr>
                <w:rFonts w:asciiTheme="minorHAnsi" w:hAnsiTheme="minorHAnsi" w:cs="Arial"/>
              </w:rPr>
              <w:t xml:space="preserve"> Samaritans. </w:t>
            </w:r>
            <w:r>
              <w:rPr>
                <w:rFonts w:asciiTheme="minorHAnsi" w:hAnsiTheme="minorHAnsi" w:cs="Arial"/>
              </w:rPr>
              <w:t xml:space="preserve">The </w:t>
            </w:r>
            <w:r w:rsidRPr="00820895">
              <w:rPr>
                <w:rFonts w:asciiTheme="minorHAnsi" w:hAnsiTheme="minorHAnsi" w:cs="Arial"/>
              </w:rPr>
              <w:t>S</w:t>
            </w:r>
            <w:r>
              <w:rPr>
                <w:rFonts w:asciiTheme="minorHAnsi" w:hAnsiTheme="minorHAnsi" w:cs="Arial"/>
              </w:rPr>
              <w:t xml:space="preserve">ocial </w:t>
            </w:r>
            <w:r w:rsidRPr="00820895">
              <w:rPr>
                <w:rFonts w:asciiTheme="minorHAnsi" w:hAnsiTheme="minorHAnsi" w:cs="Arial"/>
              </w:rPr>
              <w:t>W</w:t>
            </w:r>
            <w:r>
              <w:rPr>
                <w:rFonts w:asciiTheme="minorHAnsi" w:hAnsiTheme="minorHAnsi" w:cs="Arial"/>
              </w:rPr>
              <w:t>orker</w:t>
            </w:r>
            <w:r w:rsidRPr="00820895">
              <w:rPr>
                <w:rFonts w:asciiTheme="minorHAnsi" w:hAnsiTheme="minorHAnsi" w:cs="Arial"/>
              </w:rPr>
              <w:t xml:space="preserve"> agreed to contact </w:t>
            </w:r>
            <w:r>
              <w:rPr>
                <w:rFonts w:asciiTheme="minorHAnsi" w:hAnsiTheme="minorHAnsi" w:cs="Arial"/>
              </w:rPr>
              <w:t xml:space="preserve">the GP. </w:t>
            </w:r>
            <w:r w:rsidRPr="00820895">
              <w:rPr>
                <w:rFonts w:asciiTheme="minorHAnsi" w:hAnsiTheme="minorHAnsi" w:cs="Arial"/>
              </w:rPr>
              <w:t xml:space="preserve"> </w:t>
            </w:r>
          </w:p>
        </w:tc>
      </w:tr>
      <w:tr w:rsidR="0016727C" w14:paraId="643E5E89" w14:textId="77777777" w:rsidTr="00425557">
        <w:tc>
          <w:tcPr>
            <w:tcW w:w="613" w:type="pct"/>
          </w:tcPr>
          <w:p w14:paraId="363D47B0" w14:textId="77777777" w:rsidR="0016727C" w:rsidRDefault="0016727C" w:rsidP="00FC7AD1">
            <w:pPr>
              <w:spacing w:after="120" w:line="360" w:lineRule="auto"/>
            </w:pPr>
            <w:r>
              <w:t>4.16</w:t>
            </w:r>
          </w:p>
        </w:tc>
        <w:tc>
          <w:tcPr>
            <w:tcW w:w="4387" w:type="pct"/>
          </w:tcPr>
          <w:p w14:paraId="168AC1ED" w14:textId="04D96C6B" w:rsidR="0016727C" w:rsidRPr="00820895" w:rsidRDefault="0016727C" w:rsidP="00FC7AD1">
            <w:pPr>
              <w:pStyle w:val="NormalWeb"/>
              <w:spacing w:before="0" w:beforeAutospacing="0" w:after="120" w:afterAutospacing="0" w:line="360" w:lineRule="auto"/>
              <w:textAlignment w:val="baseline"/>
              <w:rPr>
                <w:rFonts w:asciiTheme="minorHAnsi" w:hAnsiTheme="minorHAnsi" w:cs="Arial"/>
              </w:rPr>
            </w:pPr>
            <w:r w:rsidRPr="00820895">
              <w:rPr>
                <w:rFonts w:asciiTheme="minorHAnsi" w:hAnsiTheme="minorHAnsi" w:cs="Arial"/>
              </w:rPr>
              <w:t xml:space="preserve">10.06.21 </w:t>
            </w:r>
            <w:r>
              <w:rPr>
                <w:rFonts w:asciiTheme="minorHAnsi" w:hAnsiTheme="minorHAnsi" w:cs="Arial"/>
              </w:rPr>
              <w:t xml:space="preserve">in a follow up call from the Social Worker </w:t>
            </w:r>
            <w:r w:rsidRPr="00820895">
              <w:rPr>
                <w:rFonts w:asciiTheme="minorHAnsi" w:hAnsiTheme="minorHAnsi" w:cs="Arial"/>
              </w:rPr>
              <w:t xml:space="preserve">Mr M22 said he didn't feel able to bring up his mental health in </w:t>
            </w:r>
            <w:r>
              <w:rPr>
                <w:rFonts w:asciiTheme="minorHAnsi" w:hAnsiTheme="minorHAnsi" w:cs="Arial"/>
              </w:rPr>
              <w:t>his</w:t>
            </w:r>
            <w:r w:rsidRPr="00820895">
              <w:rPr>
                <w:rFonts w:asciiTheme="minorHAnsi" w:hAnsiTheme="minorHAnsi" w:cs="Arial"/>
              </w:rPr>
              <w:t xml:space="preserve"> conversation with the GP because it was a quick appointment</w:t>
            </w:r>
            <w:r>
              <w:rPr>
                <w:rFonts w:asciiTheme="minorHAnsi" w:hAnsiTheme="minorHAnsi" w:cs="Arial"/>
              </w:rPr>
              <w:t>. H</w:t>
            </w:r>
            <w:r w:rsidRPr="00820895">
              <w:rPr>
                <w:rFonts w:asciiTheme="minorHAnsi" w:hAnsiTheme="minorHAnsi" w:cs="Arial"/>
              </w:rPr>
              <w:t>e ha</w:t>
            </w:r>
            <w:r>
              <w:rPr>
                <w:rFonts w:asciiTheme="minorHAnsi" w:hAnsiTheme="minorHAnsi" w:cs="Arial"/>
              </w:rPr>
              <w:t>d the</w:t>
            </w:r>
            <w:r w:rsidRPr="00820895">
              <w:rPr>
                <w:rFonts w:asciiTheme="minorHAnsi" w:hAnsiTheme="minorHAnsi" w:cs="Arial"/>
              </w:rPr>
              <w:t xml:space="preserve"> contact number for Insight </w:t>
            </w:r>
            <w:r>
              <w:rPr>
                <w:rFonts w:asciiTheme="minorHAnsi" w:hAnsiTheme="minorHAnsi" w:cs="Arial"/>
              </w:rPr>
              <w:t>M</w:t>
            </w:r>
            <w:r w:rsidRPr="00820895">
              <w:rPr>
                <w:rFonts w:asciiTheme="minorHAnsi" w:hAnsiTheme="minorHAnsi" w:cs="Arial"/>
              </w:rPr>
              <w:t xml:space="preserve">ental </w:t>
            </w:r>
            <w:r>
              <w:rPr>
                <w:rFonts w:asciiTheme="minorHAnsi" w:hAnsiTheme="minorHAnsi" w:cs="Arial"/>
              </w:rPr>
              <w:t>H</w:t>
            </w:r>
            <w:r w:rsidRPr="00820895">
              <w:rPr>
                <w:rFonts w:asciiTheme="minorHAnsi" w:hAnsiTheme="minorHAnsi" w:cs="Arial"/>
              </w:rPr>
              <w:t>ealth who</w:t>
            </w:r>
            <w:r>
              <w:rPr>
                <w:rFonts w:asciiTheme="minorHAnsi" w:hAnsiTheme="minorHAnsi" w:cs="Arial"/>
              </w:rPr>
              <w:t>m</w:t>
            </w:r>
            <w:r w:rsidRPr="00820895">
              <w:rPr>
                <w:rFonts w:asciiTheme="minorHAnsi" w:hAnsiTheme="minorHAnsi" w:cs="Arial"/>
              </w:rPr>
              <w:t xml:space="preserve"> he w</w:t>
            </w:r>
            <w:r>
              <w:rPr>
                <w:rFonts w:asciiTheme="minorHAnsi" w:hAnsiTheme="minorHAnsi" w:cs="Arial"/>
              </w:rPr>
              <w:t>ould</w:t>
            </w:r>
            <w:r w:rsidRPr="00820895">
              <w:rPr>
                <w:rFonts w:asciiTheme="minorHAnsi" w:hAnsiTheme="minorHAnsi" w:cs="Arial"/>
              </w:rPr>
              <w:t xml:space="preserve"> self-refer too</w:t>
            </w:r>
            <w:r>
              <w:rPr>
                <w:rFonts w:asciiTheme="minorHAnsi" w:hAnsiTheme="minorHAnsi" w:cs="Arial"/>
              </w:rPr>
              <w:t xml:space="preserve">. </w:t>
            </w:r>
            <w:r w:rsidRPr="00820895">
              <w:rPr>
                <w:rFonts w:asciiTheme="minorHAnsi" w:hAnsiTheme="minorHAnsi" w:cs="Arial"/>
              </w:rPr>
              <w:t>It was explained that the GP c</w:t>
            </w:r>
            <w:r>
              <w:rPr>
                <w:rFonts w:asciiTheme="minorHAnsi" w:hAnsiTheme="minorHAnsi" w:cs="Arial"/>
              </w:rPr>
              <w:t>ould</w:t>
            </w:r>
            <w:r w:rsidRPr="00820895">
              <w:rPr>
                <w:rFonts w:asciiTheme="minorHAnsi" w:hAnsiTheme="minorHAnsi" w:cs="Arial"/>
              </w:rPr>
              <w:t xml:space="preserve"> still be contacted. </w:t>
            </w:r>
          </w:p>
        </w:tc>
      </w:tr>
      <w:tr w:rsidR="0016727C" w14:paraId="20AE63CA" w14:textId="77777777" w:rsidTr="00425557">
        <w:tc>
          <w:tcPr>
            <w:tcW w:w="613" w:type="pct"/>
          </w:tcPr>
          <w:p w14:paraId="47BDABE0" w14:textId="77777777" w:rsidR="0016727C" w:rsidRDefault="0016727C" w:rsidP="00FC7AD1">
            <w:pPr>
              <w:spacing w:after="120" w:line="360" w:lineRule="auto"/>
            </w:pPr>
            <w:r>
              <w:t>4.17</w:t>
            </w:r>
          </w:p>
        </w:tc>
        <w:tc>
          <w:tcPr>
            <w:tcW w:w="4387" w:type="pct"/>
          </w:tcPr>
          <w:p w14:paraId="4D466570" w14:textId="2421083C" w:rsidR="0016727C" w:rsidRPr="00FC7AD1" w:rsidRDefault="0016727C" w:rsidP="00FC7AD1">
            <w:pPr>
              <w:pStyle w:val="NormalWeb"/>
              <w:spacing w:before="0" w:beforeAutospacing="0" w:after="120" w:afterAutospacing="0" w:line="360" w:lineRule="auto"/>
              <w:textAlignment w:val="baseline"/>
              <w:rPr>
                <w:rFonts w:asciiTheme="minorHAnsi" w:eastAsia="Calibri" w:hAnsiTheme="minorHAnsi" w:cs="Arial"/>
              </w:rPr>
            </w:pPr>
            <w:r w:rsidRPr="008F15AA">
              <w:rPr>
                <w:rFonts w:asciiTheme="minorHAnsi" w:eastAsia="Calibri" w:hAnsiTheme="minorHAnsi" w:cs="Arial"/>
              </w:rPr>
              <w:t xml:space="preserve">10.06.21 </w:t>
            </w:r>
            <w:r>
              <w:rPr>
                <w:rFonts w:asciiTheme="minorHAnsi" w:eastAsia="Calibri" w:hAnsiTheme="minorHAnsi" w:cs="Arial"/>
              </w:rPr>
              <w:t xml:space="preserve">A </w:t>
            </w:r>
            <w:r w:rsidRPr="008F15AA">
              <w:rPr>
                <w:rFonts w:asciiTheme="minorHAnsi" w:eastAsia="Calibri" w:hAnsiTheme="minorHAnsi" w:cs="Arial"/>
              </w:rPr>
              <w:t xml:space="preserve">Carers information pack </w:t>
            </w:r>
            <w:r>
              <w:rPr>
                <w:rFonts w:asciiTheme="minorHAnsi" w:eastAsia="Calibri" w:hAnsiTheme="minorHAnsi" w:cs="Arial"/>
              </w:rPr>
              <w:t xml:space="preserve">was </w:t>
            </w:r>
            <w:r w:rsidRPr="008F15AA">
              <w:rPr>
                <w:rFonts w:asciiTheme="minorHAnsi" w:eastAsia="Calibri" w:hAnsiTheme="minorHAnsi" w:cs="Arial"/>
              </w:rPr>
              <w:t>sent out to Mr M22</w:t>
            </w:r>
            <w:r>
              <w:rPr>
                <w:rFonts w:asciiTheme="minorHAnsi" w:eastAsia="Calibri" w:hAnsiTheme="minorHAnsi" w:cs="Arial"/>
              </w:rPr>
              <w:t>’s</w:t>
            </w:r>
            <w:r w:rsidRPr="008F15AA">
              <w:rPr>
                <w:rFonts w:asciiTheme="minorHAnsi" w:eastAsia="Calibri" w:hAnsiTheme="minorHAnsi" w:cs="Arial"/>
              </w:rPr>
              <w:t xml:space="preserve"> son and </w:t>
            </w:r>
            <w:r>
              <w:rPr>
                <w:rFonts w:asciiTheme="minorHAnsi" w:eastAsia="Calibri" w:hAnsiTheme="minorHAnsi" w:cs="Arial"/>
              </w:rPr>
              <w:t xml:space="preserve">there was </w:t>
            </w:r>
            <w:r w:rsidRPr="008F15AA">
              <w:rPr>
                <w:rFonts w:asciiTheme="minorHAnsi" w:eastAsia="Calibri" w:hAnsiTheme="minorHAnsi" w:cs="Arial"/>
              </w:rPr>
              <w:t xml:space="preserve">ongoing communication </w:t>
            </w:r>
            <w:proofErr w:type="gramStart"/>
            <w:r w:rsidRPr="008F15AA">
              <w:rPr>
                <w:rFonts w:asciiTheme="minorHAnsi" w:eastAsia="Calibri" w:hAnsiTheme="minorHAnsi" w:cs="Arial"/>
              </w:rPr>
              <w:t>with regard to</w:t>
            </w:r>
            <w:proofErr w:type="gramEnd"/>
            <w:r w:rsidRPr="008F15AA">
              <w:rPr>
                <w:rFonts w:asciiTheme="minorHAnsi" w:eastAsia="Calibri" w:hAnsiTheme="minorHAnsi" w:cs="Arial"/>
              </w:rPr>
              <w:t xml:space="preserve"> Mr M22 moving to a more appropriate property. </w:t>
            </w:r>
          </w:p>
        </w:tc>
      </w:tr>
      <w:tr w:rsidR="0016727C" w14:paraId="6CF85FFB" w14:textId="77777777" w:rsidTr="00425557">
        <w:tc>
          <w:tcPr>
            <w:tcW w:w="613" w:type="pct"/>
          </w:tcPr>
          <w:p w14:paraId="5D36F7A6" w14:textId="77777777" w:rsidR="0016727C" w:rsidRDefault="0016727C" w:rsidP="00FC7AD1">
            <w:pPr>
              <w:spacing w:after="120" w:line="360" w:lineRule="auto"/>
            </w:pPr>
            <w:r>
              <w:t>4.18</w:t>
            </w:r>
          </w:p>
        </w:tc>
        <w:tc>
          <w:tcPr>
            <w:tcW w:w="4387" w:type="pct"/>
          </w:tcPr>
          <w:p w14:paraId="22CB513D" w14:textId="2245A497" w:rsidR="0016727C" w:rsidRPr="00FC7AD1" w:rsidRDefault="0016727C" w:rsidP="00FC7AD1">
            <w:pPr>
              <w:spacing w:after="120" w:line="360" w:lineRule="auto"/>
              <w:rPr>
                <w:rFonts w:cs="Arial"/>
              </w:rPr>
            </w:pPr>
            <w:r w:rsidRPr="00062AE3">
              <w:rPr>
                <w:rFonts w:cs="Arial"/>
              </w:rPr>
              <w:t xml:space="preserve">16.06.21 </w:t>
            </w:r>
            <w:r>
              <w:rPr>
                <w:rFonts w:cs="Arial"/>
              </w:rPr>
              <w:t xml:space="preserve">The </w:t>
            </w:r>
            <w:r w:rsidRPr="00062AE3">
              <w:rPr>
                <w:rFonts w:cs="Arial"/>
              </w:rPr>
              <w:t xml:space="preserve">GP reviewed </w:t>
            </w:r>
            <w:r>
              <w:rPr>
                <w:rFonts w:cs="Arial"/>
              </w:rPr>
              <w:t xml:space="preserve">Mr M22’s </w:t>
            </w:r>
            <w:r w:rsidRPr="00062AE3">
              <w:rPr>
                <w:rFonts w:cs="Arial"/>
              </w:rPr>
              <w:t>mood following concerns raised by adult social care.</w:t>
            </w:r>
          </w:p>
        </w:tc>
      </w:tr>
      <w:tr w:rsidR="0016727C" w14:paraId="0A1B685A" w14:textId="77777777" w:rsidTr="00425557">
        <w:tc>
          <w:tcPr>
            <w:tcW w:w="613" w:type="pct"/>
          </w:tcPr>
          <w:p w14:paraId="0F8723B0" w14:textId="77777777" w:rsidR="0016727C" w:rsidRDefault="0016727C" w:rsidP="00FC7AD1">
            <w:pPr>
              <w:spacing w:after="120" w:line="360" w:lineRule="auto"/>
            </w:pPr>
            <w:r>
              <w:t>4.19</w:t>
            </w:r>
          </w:p>
        </w:tc>
        <w:tc>
          <w:tcPr>
            <w:tcW w:w="4387" w:type="pct"/>
          </w:tcPr>
          <w:p w14:paraId="56D024AA" w14:textId="64C7F092" w:rsidR="0016727C" w:rsidRPr="00FC7AD1" w:rsidRDefault="0016727C" w:rsidP="00FC7AD1">
            <w:pPr>
              <w:spacing w:after="120" w:line="360" w:lineRule="auto"/>
              <w:rPr>
                <w:rFonts w:cs="Arial"/>
              </w:rPr>
            </w:pPr>
            <w:r w:rsidRPr="00062AE3">
              <w:rPr>
                <w:rFonts w:cs="Arial"/>
              </w:rPr>
              <w:t>18.06.21</w:t>
            </w:r>
            <w:r>
              <w:rPr>
                <w:rFonts w:cs="Arial"/>
              </w:rPr>
              <w:t xml:space="preserve"> </w:t>
            </w:r>
            <w:r w:rsidRPr="00062AE3">
              <w:rPr>
                <w:rFonts w:cs="Arial"/>
              </w:rPr>
              <w:t>S</w:t>
            </w:r>
            <w:r>
              <w:rPr>
                <w:rFonts w:cs="Arial"/>
              </w:rPr>
              <w:t xml:space="preserve">ocial </w:t>
            </w:r>
            <w:r w:rsidRPr="00062AE3">
              <w:rPr>
                <w:rFonts w:cs="Arial"/>
              </w:rPr>
              <w:t>W</w:t>
            </w:r>
            <w:r>
              <w:rPr>
                <w:rFonts w:cs="Arial"/>
              </w:rPr>
              <w:t>orker</w:t>
            </w:r>
            <w:r w:rsidRPr="00062AE3">
              <w:rPr>
                <w:rFonts w:cs="Arial"/>
              </w:rPr>
              <w:t xml:space="preserve"> home visit - Carers Assessment </w:t>
            </w:r>
            <w:r>
              <w:rPr>
                <w:rFonts w:cs="Arial"/>
              </w:rPr>
              <w:t xml:space="preserve">was </w:t>
            </w:r>
            <w:r w:rsidRPr="00062AE3">
              <w:rPr>
                <w:rFonts w:cs="Arial"/>
              </w:rPr>
              <w:t xml:space="preserve">completed with Mr M22 son. </w:t>
            </w:r>
            <w:r>
              <w:rPr>
                <w:rFonts w:cs="Arial"/>
              </w:rPr>
              <w:t>A r</w:t>
            </w:r>
            <w:r w:rsidRPr="00062AE3">
              <w:rPr>
                <w:rFonts w:cs="Arial"/>
              </w:rPr>
              <w:t xml:space="preserve">equest </w:t>
            </w:r>
            <w:r>
              <w:rPr>
                <w:rFonts w:cs="Arial"/>
              </w:rPr>
              <w:t xml:space="preserve">was </w:t>
            </w:r>
            <w:r w:rsidRPr="00062AE3">
              <w:rPr>
                <w:rFonts w:cs="Arial"/>
              </w:rPr>
              <w:t xml:space="preserve">made for support twice a week for personal care, social </w:t>
            </w:r>
            <w:proofErr w:type="gramStart"/>
            <w:r w:rsidRPr="00062AE3">
              <w:rPr>
                <w:rFonts w:cs="Arial"/>
              </w:rPr>
              <w:t>support</w:t>
            </w:r>
            <w:proofErr w:type="gramEnd"/>
            <w:r w:rsidRPr="00062AE3">
              <w:rPr>
                <w:rFonts w:cs="Arial"/>
              </w:rPr>
              <w:t xml:space="preserve"> and support with domestic tasks</w:t>
            </w:r>
            <w:r>
              <w:rPr>
                <w:rFonts w:cs="Arial"/>
              </w:rPr>
              <w:t xml:space="preserve">. </w:t>
            </w:r>
            <w:r w:rsidRPr="00062AE3">
              <w:rPr>
                <w:rFonts w:cs="Arial"/>
              </w:rPr>
              <w:t>Mr M22 d</w:t>
            </w:r>
            <w:r>
              <w:rPr>
                <w:rFonts w:cs="Arial"/>
              </w:rPr>
              <w:t>id</w:t>
            </w:r>
            <w:r w:rsidRPr="00062AE3">
              <w:rPr>
                <w:rFonts w:cs="Arial"/>
              </w:rPr>
              <w:t xml:space="preserve"> not want to go into a care home but w</w:t>
            </w:r>
            <w:r>
              <w:rPr>
                <w:rFonts w:cs="Arial"/>
              </w:rPr>
              <w:t>as</w:t>
            </w:r>
            <w:r w:rsidRPr="00062AE3">
              <w:rPr>
                <w:rFonts w:cs="Arial"/>
              </w:rPr>
              <w:t xml:space="preserve"> interested in having more support during the day </w:t>
            </w:r>
            <w:r w:rsidRPr="00062AE3">
              <w:rPr>
                <w:rFonts w:cs="Arial"/>
              </w:rPr>
              <w:lastRenderedPageBreak/>
              <w:t>so his son c</w:t>
            </w:r>
            <w:r>
              <w:rPr>
                <w:rFonts w:cs="Arial"/>
              </w:rPr>
              <w:t>ould</w:t>
            </w:r>
            <w:r w:rsidRPr="00062AE3">
              <w:rPr>
                <w:rFonts w:cs="Arial"/>
              </w:rPr>
              <w:t xml:space="preserve"> go on a short break. </w:t>
            </w:r>
            <w:r>
              <w:rPr>
                <w:rFonts w:cs="Arial"/>
              </w:rPr>
              <w:t>It was noted that t</w:t>
            </w:r>
            <w:r w:rsidRPr="00062AE3">
              <w:rPr>
                <w:rFonts w:cs="Arial"/>
              </w:rPr>
              <w:t>he property smelled strong of cannabis</w:t>
            </w:r>
            <w:r>
              <w:rPr>
                <w:rFonts w:cs="Arial"/>
              </w:rPr>
              <w:t xml:space="preserve"> and</w:t>
            </w:r>
            <w:r w:rsidRPr="00062AE3">
              <w:rPr>
                <w:rFonts w:cs="Arial"/>
              </w:rPr>
              <w:t xml:space="preserve"> Mr M22 said he use</w:t>
            </w:r>
            <w:r>
              <w:rPr>
                <w:rFonts w:cs="Arial"/>
              </w:rPr>
              <w:t>d</w:t>
            </w:r>
            <w:r w:rsidRPr="00062AE3">
              <w:rPr>
                <w:rFonts w:cs="Arial"/>
              </w:rPr>
              <w:t xml:space="preserve"> cannabis daily for pain relief due to </w:t>
            </w:r>
            <w:r>
              <w:rPr>
                <w:rFonts w:cs="Arial"/>
              </w:rPr>
              <w:t xml:space="preserve">his </w:t>
            </w:r>
            <w:r w:rsidRPr="00062AE3">
              <w:rPr>
                <w:rFonts w:cs="Arial"/>
              </w:rPr>
              <w:t xml:space="preserve">amputation.  </w:t>
            </w:r>
          </w:p>
        </w:tc>
      </w:tr>
      <w:tr w:rsidR="0016727C" w14:paraId="414ADB4C" w14:textId="77777777" w:rsidTr="00425557">
        <w:tc>
          <w:tcPr>
            <w:tcW w:w="613" w:type="pct"/>
          </w:tcPr>
          <w:p w14:paraId="587EE8F6" w14:textId="77777777" w:rsidR="0016727C" w:rsidRDefault="0016727C" w:rsidP="00FC7AD1">
            <w:pPr>
              <w:spacing w:after="120" w:line="360" w:lineRule="auto"/>
            </w:pPr>
            <w:r>
              <w:lastRenderedPageBreak/>
              <w:t>4.20</w:t>
            </w:r>
          </w:p>
        </w:tc>
        <w:tc>
          <w:tcPr>
            <w:tcW w:w="4387" w:type="pct"/>
          </w:tcPr>
          <w:p w14:paraId="21BBEB9E" w14:textId="65650853" w:rsidR="0016727C" w:rsidRPr="00820895" w:rsidRDefault="0016727C" w:rsidP="00FC7AD1">
            <w:pPr>
              <w:spacing w:after="120" w:line="360" w:lineRule="auto"/>
            </w:pPr>
            <w:r w:rsidRPr="000828AC">
              <w:t>18.06.21 follow up call to GP from S</w:t>
            </w:r>
            <w:r>
              <w:t xml:space="preserve">ocial </w:t>
            </w:r>
            <w:r w:rsidRPr="000828AC">
              <w:t>W</w:t>
            </w:r>
            <w:r>
              <w:t>orker</w:t>
            </w:r>
            <w:r w:rsidRPr="000828AC">
              <w:t xml:space="preserve"> to explain that Mr M22 is struggling with pain management and is using cannabis daily to control his pain. </w:t>
            </w:r>
            <w:r>
              <w:t xml:space="preserve">The </w:t>
            </w:r>
            <w:r w:rsidRPr="000828AC">
              <w:rPr>
                <w:rFonts w:cs="Arial"/>
              </w:rPr>
              <w:t xml:space="preserve">GP attempted to contact Mr M22 </w:t>
            </w:r>
            <w:r>
              <w:rPr>
                <w:rFonts w:cs="Arial"/>
              </w:rPr>
              <w:t xml:space="preserve">but there was </w:t>
            </w:r>
            <w:r w:rsidRPr="000828AC">
              <w:rPr>
                <w:rFonts w:cs="Arial"/>
              </w:rPr>
              <w:t>no answer</w:t>
            </w:r>
            <w:r>
              <w:rPr>
                <w:rFonts w:cs="Arial"/>
              </w:rPr>
              <w:t>,</w:t>
            </w:r>
            <w:r w:rsidRPr="000828AC">
              <w:rPr>
                <w:rFonts w:cs="Arial"/>
              </w:rPr>
              <w:t xml:space="preserve"> </w:t>
            </w:r>
            <w:r>
              <w:rPr>
                <w:rFonts w:cs="Arial"/>
              </w:rPr>
              <w:t xml:space="preserve">a </w:t>
            </w:r>
            <w:r w:rsidRPr="000828AC">
              <w:rPr>
                <w:rFonts w:cs="Arial"/>
              </w:rPr>
              <w:t xml:space="preserve">message </w:t>
            </w:r>
            <w:r>
              <w:rPr>
                <w:rFonts w:cs="Arial"/>
              </w:rPr>
              <w:t>was left</w:t>
            </w:r>
            <w:r w:rsidRPr="000828AC">
              <w:rPr>
                <w:rFonts w:cs="Arial"/>
              </w:rPr>
              <w:t xml:space="preserve"> to contact surgery</w:t>
            </w:r>
            <w:r>
              <w:rPr>
                <w:rFonts w:cs="Arial"/>
              </w:rPr>
              <w:t xml:space="preserve">. </w:t>
            </w:r>
          </w:p>
        </w:tc>
      </w:tr>
      <w:tr w:rsidR="0016727C" w14:paraId="6784DD92" w14:textId="77777777" w:rsidTr="00425557">
        <w:tc>
          <w:tcPr>
            <w:tcW w:w="613" w:type="pct"/>
          </w:tcPr>
          <w:p w14:paraId="6FCBD6B6" w14:textId="77777777" w:rsidR="0016727C" w:rsidRDefault="0016727C" w:rsidP="00FC7AD1">
            <w:pPr>
              <w:spacing w:after="120" w:line="360" w:lineRule="auto"/>
            </w:pPr>
            <w:r>
              <w:t>4.21</w:t>
            </w:r>
          </w:p>
        </w:tc>
        <w:tc>
          <w:tcPr>
            <w:tcW w:w="4387" w:type="pct"/>
          </w:tcPr>
          <w:p w14:paraId="5F44A543" w14:textId="6FFD3895" w:rsidR="0016727C" w:rsidRPr="00820895" w:rsidRDefault="0016727C" w:rsidP="00FC7AD1">
            <w:pPr>
              <w:spacing w:after="120" w:line="360" w:lineRule="auto"/>
            </w:pPr>
            <w:r w:rsidRPr="00820895">
              <w:t xml:space="preserve">Various applications were then made to identify a service </w:t>
            </w:r>
            <w:r>
              <w:t>that</w:t>
            </w:r>
            <w:r w:rsidRPr="00820895">
              <w:t xml:space="preserve"> would be able to fulfil Mr M22’s care package. </w:t>
            </w:r>
            <w:r>
              <w:t xml:space="preserve">It was agreed that Mr M22’s son would continue to be his primary carer until they were able to move into more appropriate accommodation, at which time Mr M22 would be able to be more independent. Mr M22’s son expressed some concerns about his father’s behaviour when he had been drinking, stating that he could be </w:t>
            </w:r>
            <w:r w:rsidRPr="00820895">
              <w:rPr>
                <w:i/>
                <w:iCs/>
              </w:rPr>
              <w:t>‘erratic’</w:t>
            </w:r>
            <w:r>
              <w:t xml:space="preserve"> and that he sometimes fell out of bed. Arrangements were made for Mr M22 to be supplied with a lifeline.  </w:t>
            </w:r>
          </w:p>
        </w:tc>
      </w:tr>
      <w:tr w:rsidR="0016727C" w14:paraId="08ACF474" w14:textId="77777777" w:rsidTr="00425557">
        <w:tc>
          <w:tcPr>
            <w:tcW w:w="613" w:type="pct"/>
          </w:tcPr>
          <w:p w14:paraId="6F3508E5" w14:textId="77777777" w:rsidR="0016727C" w:rsidRDefault="0016727C" w:rsidP="00FC7AD1">
            <w:pPr>
              <w:spacing w:after="120" w:line="360" w:lineRule="auto"/>
            </w:pPr>
            <w:r>
              <w:t>4.22</w:t>
            </w:r>
          </w:p>
        </w:tc>
        <w:tc>
          <w:tcPr>
            <w:tcW w:w="4387" w:type="pct"/>
          </w:tcPr>
          <w:p w14:paraId="709E6C48" w14:textId="6070A390" w:rsidR="0016727C" w:rsidRPr="00820895" w:rsidRDefault="0016727C" w:rsidP="00FC7AD1">
            <w:pPr>
              <w:spacing w:after="120" w:line="360" w:lineRule="auto"/>
            </w:pPr>
            <w:r>
              <w:t xml:space="preserve">25.10.21 Mr M22 attended the GP with bruising to both lower leg stumps. The GP diagnosed phantom limb pain and referred Mr M22 to the pain clinic and arranged blood tests. </w:t>
            </w:r>
          </w:p>
        </w:tc>
      </w:tr>
      <w:tr w:rsidR="0016727C" w14:paraId="3C82326F" w14:textId="77777777" w:rsidTr="00425557">
        <w:tc>
          <w:tcPr>
            <w:tcW w:w="613" w:type="pct"/>
          </w:tcPr>
          <w:p w14:paraId="6E2AC800" w14:textId="77777777" w:rsidR="0016727C" w:rsidRDefault="0016727C" w:rsidP="00FC7AD1">
            <w:pPr>
              <w:spacing w:after="120" w:line="360" w:lineRule="auto"/>
            </w:pPr>
            <w:r>
              <w:t>4.23</w:t>
            </w:r>
          </w:p>
        </w:tc>
        <w:tc>
          <w:tcPr>
            <w:tcW w:w="4387" w:type="pct"/>
          </w:tcPr>
          <w:p w14:paraId="281B5B16" w14:textId="5C3FB9D5" w:rsidR="0016727C" w:rsidRDefault="0016727C" w:rsidP="00FC7AD1">
            <w:pPr>
              <w:spacing w:after="120" w:line="360" w:lineRule="auto"/>
            </w:pPr>
            <w:r>
              <w:t xml:space="preserve">27.10.21 Mr M22 attended the accident and emergency department at Kings Mill hospital where he had blood tests and was diagnosed with cellulitis and prescribed antibiotics. </w:t>
            </w:r>
          </w:p>
        </w:tc>
      </w:tr>
      <w:tr w:rsidR="0016727C" w14:paraId="12E837CA" w14:textId="77777777" w:rsidTr="00425557">
        <w:tc>
          <w:tcPr>
            <w:tcW w:w="613" w:type="pct"/>
          </w:tcPr>
          <w:p w14:paraId="69D5A530" w14:textId="77777777" w:rsidR="0016727C" w:rsidRDefault="0016727C" w:rsidP="00FC7AD1">
            <w:pPr>
              <w:spacing w:after="120" w:line="360" w:lineRule="auto"/>
            </w:pPr>
            <w:r>
              <w:t>4.24</w:t>
            </w:r>
          </w:p>
        </w:tc>
        <w:tc>
          <w:tcPr>
            <w:tcW w:w="4387" w:type="pct"/>
          </w:tcPr>
          <w:p w14:paraId="5C03A545" w14:textId="13C8F726" w:rsidR="0016727C" w:rsidRPr="00820895" w:rsidRDefault="0016727C" w:rsidP="00FC7AD1">
            <w:pPr>
              <w:spacing w:after="120" w:line="360" w:lineRule="auto"/>
            </w:pPr>
            <w:r>
              <w:t xml:space="preserve">16.11.21 There was a telephone consultation with the GP due to concerns about bruising at the top of the legs. The GP arranged a </w:t>
            </w:r>
            <w:proofErr w:type="gramStart"/>
            <w:r>
              <w:t>face to face</w:t>
            </w:r>
            <w:proofErr w:type="gramEnd"/>
            <w:r>
              <w:t xml:space="preserve"> consultation. </w:t>
            </w:r>
          </w:p>
        </w:tc>
      </w:tr>
      <w:tr w:rsidR="0016727C" w14:paraId="75F4DCB8" w14:textId="77777777" w:rsidTr="00425557">
        <w:tc>
          <w:tcPr>
            <w:tcW w:w="613" w:type="pct"/>
          </w:tcPr>
          <w:p w14:paraId="71B0ED30" w14:textId="77777777" w:rsidR="0016727C" w:rsidRDefault="0016727C" w:rsidP="00FC7AD1">
            <w:pPr>
              <w:spacing w:after="120" w:line="360" w:lineRule="auto"/>
            </w:pPr>
            <w:r>
              <w:t>4.25</w:t>
            </w:r>
          </w:p>
        </w:tc>
        <w:tc>
          <w:tcPr>
            <w:tcW w:w="4387" w:type="pct"/>
          </w:tcPr>
          <w:p w14:paraId="2476A06B" w14:textId="1FBE2D52" w:rsidR="0016727C" w:rsidRPr="00FC7AD1" w:rsidRDefault="0016727C" w:rsidP="00FC7AD1">
            <w:pPr>
              <w:spacing w:after="120" w:line="360" w:lineRule="auto"/>
              <w:rPr>
                <w:rFonts w:cs="Arial"/>
              </w:rPr>
            </w:pPr>
            <w:r w:rsidRPr="00820895">
              <w:t xml:space="preserve">19.11.21 </w:t>
            </w:r>
            <w:r w:rsidRPr="00820895">
              <w:rPr>
                <w:rFonts w:cs="Arial"/>
              </w:rPr>
              <w:t>Mr M22 advised that he ha</w:t>
            </w:r>
            <w:r>
              <w:rPr>
                <w:rFonts w:cs="Arial"/>
              </w:rPr>
              <w:t>d</w:t>
            </w:r>
            <w:r w:rsidRPr="00820895">
              <w:rPr>
                <w:rFonts w:cs="Arial"/>
              </w:rPr>
              <w:t xml:space="preserve"> been provisionally offered a</w:t>
            </w:r>
            <w:r>
              <w:rPr>
                <w:rFonts w:cs="Arial"/>
              </w:rPr>
              <w:t>n adapted</w:t>
            </w:r>
            <w:r w:rsidRPr="00820895">
              <w:rPr>
                <w:rFonts w:cs="Arial"/>
              </w:rPr>
              <w:t xml:space="preserve"> property that he </w:t>
            </w:r>
            <w:r>
              <w:rPr>
                <w:rFonts w:cs="Arial"/>
              </w:rPr>
              <w:t xml:space="preserve">was </w:t>
            </w:r>
            <w:r w:rsidRPr="00820895">
              <w:rPr>
                <w:rFonts w:cs="Arial"/>
              </w:rPr>
              <w:t xml:space="preserve">due to view later in the month. </w:t>
            </w:r>
          </w:p>
        </w:tc>
      </w:tr>
      <w:tr w:rsidR="0016727C" w14:paraId="10EEA119" w14:textId="77777777" w:rsidTr="00425557">
        <w:tc>
          <w:tcPr>
            <w:tcW w:w="613" w:type="pct"/>
          </w:tcPr>
          <w:p w14:paraId="4DC4735B" w14:textId="77777777" w:rsidR="0016727C" w:rsidRDefault="0016727C" w:rsidP="00FC7AD1">
            <w:pPr>
              <w:spacing w:after="120" w:line="360" w:lineRule="auto"/>
            </w:pPr>
            <w:r>
              <w:t>4.26</w:t>
            </w:r>
          </w:p>
        </w:tc>
        <w:tc>
          <w:tcPr>
            <w:tcW w:w="4387" w:type="pct"/>
          </w:tcPr>
          <w:p w14:paraId="49F68239" w14:textId="5DDD6553" w:rsidR="0016727C" w:rsidRPr="00FC7AD1" w:rsidRDefault="0016727C" w:rsidP="00FC7AD1">
            <w:pPr>
              <w:spacing w:after="120" w:line="360" w:lineRule="auto"/>
            </w:pPr>
            <w:r w:rsidRPr="001C1AAA">
              <w:t>22</w:t>
            </w:r>
            <w:r>
              <w:t>.11.21</w:t>
            </w:r>
            <w:r w:rsidRPr="001C1AAA">
              <w:t xml:space="preserve"> Mr M22 attended </w:t>
            </w:r>
            <w:r>
              <w:t xml:space="preserve">the </w:t>
            </w:r>
            <w:r w:rsidRPr="001C1AAA">
              <w:t xml:space="preserve">GP with continuing discharge from his wounds. Upon examining him </w:t>
            </w:r>
            <w:r>
              <w:t>it was</w:t>
            </w:r>
            <w:r w:rsidRPr="001C1AAA">
              <w:t xml:space="preserve"> noted that he had wounds to the right scrotal area and at the back of the right leg stump. There was some discharge and crusting </w:t>
            </w:r>
            <w:r w:rsidRPr="001C1AAA">
              <w:lastRenderedPageBreak/>
              <w:t>but no signs of spreading infection. He had some bruising which</w:t>
            </w:r>
            <w:r>
              <w:t xml:space="preserve"> the</w:t>
            </w:r>
            <w:r w:rsidRPr="001C1AAA">
              <w:t xml:space="preserve"> GP suspected was due to the clopidogrel (a blood thinner) tha</w:t>
            </w:r>
            <w:r>
              <w:t>t</w:t>
            </w:r>
            <w:r w:rsidRPr="001C1AAA">
              <w:t xml:space="preserve"> Mr M22 was taking at the time. </w:t>
            </w:r>
            <w:r>
              <w:t>The doctor</w:t>
            </w:r>
            <w:r w:rsidRPr="001C1AAA">
              <w:t xml:space="preserve"> advised Mr M22 to continue taking the clopidogrel and prescribed a course of doxycycline (an antibiotic) and referred him to the practice nurse for dressings. </w:t>
            </w:r>
          </w:p>
        </w:tc>
      </w:tr>
      <w:tr w:rsidR="0016727C" w14:paraId="0DCAADB2" w14:textId="77777777" w:rsidTr="00425557">
        <w:tc>
          <w:tcPr>
            <w:tcW w:w="613" w:type="pct"/>
          </w:tcPr>
          <w:p w14:paraId="2DA6EE23" w14:textId="77777777" w:rsidR="0016727C" w:rsidRDefault="0016727C" w:rsidP="00FC7AD1">
            <w:pPr>
              <w:spacing w:after="120" w:line="360" w:lineRule="auto"/>
            </w:pPr>
            <w:r>
              <w:lastRenderedPageBreak/>
              <w:t>4.27</w:t>
            </w:r>
          </w:p>
        </w:tc>
        <w:tc>
          <w:tcPr>
            <w:tcW w:w="4387" w:type="pct"/>
          </w:tcPr>
          <w:p w14:paraId="443A5B3B" w14:textId="3752A04A" w:rsidR="0016727C" w:rsidRPr="001C1AAA" w:rsidRDefault="0016727C" w:rsidP="00FC7AD1">
            <w:pPr>
              <w:spacing w:after="120" w:line="360" w:lineRule="auto"/>
            </w:pPr>
            <w:r>
              <w:t>Between 22</w:t>
            </w:r>
            <w:r w:rsidRPr="004F0CCC">
              <w:rPr>
                <w:vertAlign w:val="superscript"/>
              </w:rPr>
              <w:t>nd</w:t>
            </w:r>
            <w:r>
              <w:t xml:space="preserve"> November and 6</w:t>
            </w:r>
            <w:r w:rsidRPr="004F0CCC">
              <w:rPr>
                <w:vertAlign w:val="superscript"/>
              </w:rPr>
              <w:t>th</w:t>
            </w:r>
            <w:r>
              <w:t xml:space="preserve"> December Mr M22 attended the practice nurse or health care assistant on seven occasions to get his dressings changed.</w:t>
            </w:r>
          </w:p>
        </w:tc>
      </w:tr>
      <w:tr w:rsidR="0016727C" w14:paraId="4626CE56" w14:textId="77777777" w:rsidTr="00425557">
        <w:tc>
          <w:tcPr>
            <w:tcW w:w="613" w:type="pct"/>
          </w:tcPr>
          <w:p w14:paraId="33762F2D" w14:textId="77777777" w:rsidR="0016727C" w:rsidRDefault="0016727C" w:rsidP="00FC7AD1">
            <w:pPr>
              <w:spacing w:after="120" w:line="360" w:lineRule="auto"/>
            </w:pPr>
            <w:r>
              <w:t>4.28</w:t>
            </w:r>
          </w:p>
        </w:tc>
        <w:tc>
          <w:tcPr>
            <w:tcW w:w="4387" w:type="pct"/>
          </w:tcPr>
          <w:p w14:paraId="111DFAAF" w14:textId="77DC03AE" w:rsidR="0016727C" w:rsidRPr="00FC7AD1" w:rsidRDefault="0016727C" w:rsidP="00FC7AD1">
            <w:pPr>
              <w:spacing w:after="120" w:line="360" w:lineRule="auto"/>
              <w:rPr>
                <w:rFonts w:cs="Arial"/>
              </w:rPr>
            </w:pPr>
            <w:r w:rsidRPr="0077316D">
              <w:rPr>
                <w:rFonts w:cs="Arial"/>
              </w:rPr>
              <w:t xml:space="preserve">08.12.21 </w:t>
            </w:r>
            <w:r>
              <w:rPr>
                <w:rFonts w:cs="Arial"/>
              </w:rPr>
              <w:t xml:space="preserve">The </w:t>
            </w:r>
            <w:r w:rsidRPr="0077316D">
              <w:rPr>
                <w:rFonts w:cs="Arial"/>
              </w:rPr>
              <w:t xml:space="preserve">GP </w:t>
            </w:r>
            <w:r>
              <w:rPr>
                <w:rFonts w:cs="Arial"/>
              </w:rPr>
              <w:t>l</w:t>
            </w:r>
            <w:r w:rsidRPr="0077316D">
              <w:rPr>
                <w:rFonts w:cs="Arial"/>
              </w:rPr>
              <w:t>iais</w:t>
            </w:r>
            <w:r>
              <w:rPr>
                <w:rFonts w:cs="Arial"/>
              </w:rPr>
              <w:t xml:space="preserve">ed </w:t>
            </w:r>
            <w:r w:rsidRPr="0077316D">
              <w:rPr>
                <w:rFonts w:cs="Arial"/>
              </w:rPr>
              <w:t xml:space="preserve">with Tissue viability nurse and </w:t>
            </w:r>
            <w:r>
              <w:rPr>
                <w:rFonts w:cs="Arial"/>
              </w:rPr>
              <w:t xml:space="preserve">made a </w:t>
            </w:r>
            <w:r w:rsidRPr="0077316D">
              <w:rPr>
                <w:rFonts w:cs="Arial"/>
              </w:rPr>
              <w:t xml:space="preserve">referral to </w:t>
            </w:r>
            <w:r>
              <w:rPr>
                <w:rFonts w:cs="Arial"/>
              </w:rPr>
              <w:t xml:space="preserve">the </w:t>
            </w:r>
            <w:r w:rsidRPr="0077316D">
              <w:rPr>
                <w:rFonts w:cs="Arial"/>
              </w:rPr>
              <w:t xml:space="preserve">vascular surgical team for advice and support with on-going skin damage. </w:t>
            </w:r>
            <w:r>
              <w:rPr>
                <w:rFonts w:cs="Arial"/>
              </w:rPr>
              <w:t>A</w:t>
            </w:r>
            <w:r w:rsidRPr="0077316D">
              <w:rPr>
                <w:rFonts w:cs="Arial"/>
              </w:rPr>
              <w:t xml:space="preserve"> new course of painkillers</w:t>
            </w:r>
            <w:r>
              <w:rPr>
                <w:rFonts w:cs="Arial"/>
              </w:rPr>
              <w:t xml:space="preserve"> was prescribed</w:t>
            </w:r>
            <w:r w:rsidRPr="0077316D">
              <w:rPr>
                <w:rFonts w:cs="Arial"/>
              </w:rPr>
              <w:t xml:space="preserve">. </w:t>
            </w:r>
          </w:p>
        </w:tc>
      </w:tr>
      <w:tr w:rsidR="0016727C" w14:paraId="65202296" w14:textId="77777777" w:rsidTr="00425557">
        <w:tc>
          <w:tcPr>
            <w:tcW w:w="613" w:type="pct"/>
          </w:tcPr>
          <w:p w14:paraId="59C68D03" w14:textId="77777777" w:rsidR="0016727C" w:rsidRDefault="0016727C" w:rsidP="00FC7AD1">
            <w:pPr>
              <w:spacing w:after="120" w:line="360" w:lineRule="auto"/>
            </w:pPr>
            <w:r>
              <w:t>4.29</w:t>
            </w:r>
          </w:p>
        </w:tc>
        <w:tc>
          <w:tcPr>
            <w:tcW w:w="4387" w:type="pct"/>
          </w:tcPr>
          <w:p w14:paraId="2EB80838" w14:textId="4E863162" w:rsidR="0016727C" w:rsidRPr="00FC7AD1" w:rsidRDefault="0016727C" w:rsidP="00FC7AD1">
            <w:pPr>
              <w:pStyle w:val="NormalWeb"/>
              <w:spacing w:before="0" w:beforeAutospacing="0" w:after="120" w:afterAutospacing="0" w:line="360" w:lineRule="auto"/>
              <w:textAlignment w:val="baseline"/>
              <w:rPr>
                <w:rFonts w:asciiTheme="minorHAnsi" w:hAnsiTheme="minorHAnsi" w:cs="Arial"/>
                <w:bCs/>
              </w:rPr>
            </w:pPr>
            <w:r w:rsidRPr="00820895">
              <w:rPr>
                <w:rFonts w:asciiTheme="minorHAnsi" w:hAnsiTheme="minorHAnsi"/>
              </w:rPr>
              <w:t xml:space="preserve">17.12.21 </w:t>
            </w:r>
            <w:r>
              <w:rPr>
                <w:rFonts w:asciiTheme="minorHAnsi" w:hAnsiTheme="minorHAnsi"/>
              </w:rPr>
              <w:t xml:space="preserve">The </w:t>
            </w:r>
            <w:r w:rsidRPr="00820895">
              <w:rPr>
                <w:rFonts w:asciiTheme="minorHAnsi" w:hAnsiTheme="minorHAnsi" w:cs="Arial"/>
                <w:bCs/>
              </w:rPr>
              <w:t>T</w:t>
            </w:r>
            <w:r>
              <w:rPr>
                <w:rFonts w:asciiTheme="minorHAnsi" w:hAnsiTheme="minorHAnsi" w:cs="Arial"/>
                <w:bCs/>
              </w:rPr>
              <w:t xml:space="preserve">issue </w:t>
            </w:r>
            <w:r w:rsidRPr="00820895">
              <w:rPr>
                <w:rFonts w:asciiTheme="minorHAnsi" w:hAnsiTheme="minorHAnsi" w:cs="Arial"/>
                <w:bCs/>
              </w:rPr>
              <w:t>V</w:t>
            </w:r>
            <w:r>
              <w:rPr>
                <w:rFonts w:asciiTheme="minorHAnsi" w:hAnsiTheme="minorHAnsi" w:cs="Arial"/>
                <w:bCs/>
              </w:rPr>
              <w:t xml:space="preserve">iability </w:t>
            </w:r>
            <w:r w:rsidRPr="00820895">
              <w:rPr>
                <w:rFonts w:asciiTheme="minorHAnsi" w:hAnsiTheme="minorHAnsi" w:cs="Arial"/>
                <w:bCs/>
              </w:rPr>
              <w:t>S</w:t>
            </w:r>
            <w:r>
              <w:rPr>
                <w:rFonts w:asciiTheme="minorHAnsi" w:hAnsiTheme="minorHAnsi" w:cs="Arial"/>
                <w:bCs/>
              </w:rPr>
              <w:t>ervice received a r</w:t>
            </w:r>
            <w:r w:rsidRPr="00820895">
              <w:rPr>
                <w:rFonts w:asciiTheme="minorHAnsi" w:hAnsiTheme="minorHAnsi" w:cs="Arial"/>
                <w:bCs/>
              </w:rPr>
              <w:t xml:space="preserve">eferral for support regarding the management of lesions. Photographs of </w:t>
            </w:r>
            <w:r>
              <w:rPr>
                <w:rFonts w:asciiTheme="minorHAnsi" w:hAnsiTheme="minorHAnsi" w:cs="Arial"/>
                <w:bCs/>
              </w:rPr>
              <w:t xml:space="preserve">the </w:t>
            </w:r>
            <w:r w:rsidRPr="00820895">
              <w:rPr>
                <w:rFonts w:asciiTheme="minorHAnsi" w:hAnsiTheme="minorHAnsi" w:cs="Arial"/>
                <w:bCs/>
              </w:rPr>
              <w:t>wound</w:t>
            </w:r>
            <w:r>
              <w:rPr>
                <w:rFonts w:asciiTheme="minorHAnsi" w:hAnsiTheme="minorHAnsi" w:cs="Arial"/>
                <w:bCs/>
              </w:rPr>
              <w:t>s</w:t>
            </w:r>
            <w:r w:rsidRPr="00820895">
              <w:rPr>
                <w:rFonts w:asciiTheme="minorHAnsi" w:hAnsiTheme="minorHAnsi" w:cs="Arial"/>
                <w:bCs/>
              </w:rPr>
              <w:t xml:space="preserve"> </w:t>
            </w:r>
            <w:r>
              <w:rPr>
                <w:rFonts w:asciiTheme="minorHAnsi" w:hAnsiTheme="minorHAnsi" w:cs="Arial"/>
                <w:bCs/>
              </w:rPr>
              <w:t xml:space="preserve">were </w:t>
            </w:r>
            <w:proofErr w:type="gramStart"/>
            <w:r w:rsidRPr="00820895">
              <w:rPr>
                <w:rFonts w:asciiTheme="minorHAnsi" w:hAnsiTheme="minorHAnsi" w:cs="Arial"/>
                <w:bCs/>
              </w:rPr>
              <w:t>reviewed</w:t>
            </w:r>
            <w:proofErr w:type="gramEnd"/>
            <w:r>
              <w:rPr>
                <w:rFonts w:asciiTheme="minorHAnsi" w:hAnsiTheme="minorHAnsi" w:cs="Arial"/>
                <w:bCs/>
              </w:rPr>
              <w:t xml:space="preserve"> and c</w:t>
            </w:r>
            <w:r w:rsidRPr="00820895">
              <w:rPr>
                <w:rFonts w:asciiTheme="minorHAnsi" w:hAnsiTheme="minorHAnsi" w:cs="Arial"/>
                <w:bCs/>
              </w:rPr>
              <w:t>oncern</w:t>
            </w:r>
            <w:r>
              <w:rPr>
                <w:rFonts w:asciiTheme="minorHAnsi" w:hAnsiTheme="minorHAnsi" w:cs="Arial"/>
                <w:bCs/>
              </w:rPr>
              <w:t>s were</w:t>
            </w:r>
            <w:r w:rsidRPr="00820895">
              <w:rPr>
                <w:rFonts w:asciiTheme="minorHAnsi" w:hAnsiTheme="minorHAnsi" w:cs="Arial"/>
                <w:bCs/>
              </w:rPr>
              <w:t xml:space="preserve"> raised of suspicious pathology. Advised an onward referral to dermatology</w:t>
            </w:r>
            <w:r>
              <w:rPr>
                <w:rFonts w:asciiTheme="minorHAnsi" w:hAnsiTheme="minorHAnsi" w:cs="Arial"/>
                <w:bCs/>
              </w:rPr>
              <w:t xml:space="preserve"> and a r</w:t>
            </w:r>
            <w:r w:rsidRPr="00820895">
              <w:rPr>
                <w:rFonts w:asciiTheme="minorHAnsi" w:hAnsiTheme="minorHAnsi" w:cs="Arial"/>
                <w:bCs/>
              </w:rPr>
              <w:t xml:space="preserve">equest for </w:t>
            </w:r>
            <w:r>
              <w:rPr>
                <w:rFonts w:asciiTheme="minorHAnsi" w:hAnsiTheme="minorHAnsi" w:cs="Arial"/>
                <w:bCs/>
              </w:rPr>
              <w:t xml:space="preserve">the </w:t>
            </w:r>
            <w:r w:rsidRPr="00820895">
              <w:rPr>
                <w:rFonts w:asciiTheme="minorHAnsi" w:hAnsiTheme="minorHAnsi" w:cs="Arial"/>
                <w:bCs/>
              </w:rPr>
              <w:t>practice nurse to liaise</w:t>
            </w:r>
            <w:r>
              <w:rPr>
                <w:rFonts w:asciiTheme="minorHAnsi" w:hAnsiTheme="minorHAnsi" w:cs="Arial"/>
                <w:bCs/>
              </w:rPr>
              <w:t xml:space="preserve"> with Mr M22</w:t>
            </w:r>
            <w:r w:rsidRPr="00820895">
              <w:rPr>
                <w:rFonts w:asciiTheme="minorHAnsi" w:hAnsiTheme="minorHAnsi" w:cs="Arial"/>
                <w:bCs/>
              </w:rPr>
              <w:t>.</w:t>
            </w:r>
          </w:p>
        </w:tc>
      </w:tr>
      <w:tr w:rsidR="0016727C" w14:paraId="2628025C" w14:textId="77777777" w:rsidTr="00425557">
        <w:tc>
          <w:tcPr>
            <w:tcW w:w="613" w:type="pct"/>
          </w:tcPr>
          <w:p w14:paraId="1CDBB0F5" w14:textId="77777777" w:rsidR="0016727C" w:rsidRDefault="0016727C" w:rsidP="00FC7AD1">
            <w:pPr>
              <w:spacing w:after="120" w:line="360" w:lineRule="auto"/>
            </w:pPr>
            <w:r>
              <w:t>4.30</w:t>
            </w:r>
          </w:p>
        </w:tc>
        <w:tc>
          <w:tcPr>
            <w:tcW w:w="4387" w:type="pct"/>
          </w:tcPr>
          <w:p w14:paraId="7C10A8C8" w14:textId="0D214A28" w:rsidR="0016727C" w:rsidRPr="00820895" w:rsidRDefault="0016727C" w:rsidP="00FC7AD1">
            <w:pPr>
              <w:pStyle w:val="NormalWeb"/>
              <w:spacing w:before="0" w:beforeAutospacing="0" w:after="120" w:afterAutospacing="0" w:line="360" w:lineRule="auto"/>
              <w:textAlignment w:val="baseline"/>
              <w:rPr>
                <w:rFonts w:asciiTheme="minorHAnsi" w:hAnsiTheme="minorHAnsi"/>
              </w:rPr>
            </w:pPr>
            <w:r>
              <w:rPr>
                <w:rFonts w:asciiTheme="minorHAnsi" w:hAnsiTheme="minorHAnsi"/>
              </w:rPr>
              <w:t xml:space="preserve">21.12.21 Mr M22 missed a vascular outpatients’ appointment at Kings Mill hospital. </w:t>
            </w:r>
          </w:p>
        </w:tc>
      </w:tr>
      <w:tr w:rsidR="0016727C" w14:paraId="10B2A9E5" w14:textId="77777777" w:rsidTr="00425557">
        <w:tc>
          <w:tcPr>
            <w:tcW w:w="613" w:type="pct"/>
          </w:tcPr>
          <w:p w14:paraId="67EF4714" w14:textId="77777777" w:rsidR="0016727C" w:rsidRDefault="0016727C" w:rsidP="00FC7AD1">
            <w:pPr>
              <w:spacing w:after="120" w:line="360" w:lineRule="auto"/>
            </w:pPr>
            <w:r>
              <w:t>4.31</w:t>
            </w:r>
          </w:p>
        </w:tc>
        <w:tc>
          <w:tcPr>
            <w:tcW w:w="4387" w:type="pct"/>
          </w:tcPr>
          <w:p w14:paraId="0B31CDD9" w14:textId="512693EE" w:rsidR="0016727C" w:rsidRPr="000E4E20" w:rsidRDefault="0016727C" w:rsidP="00FC7AD1">
            <w:pPr>
              <w:pStyle w:val="NormalWeb"/>
              <w:spacing w:before="0" w:beforeAutospacing="0" w:after="120" w:afterAutospacing="0" w:line="360" w:lineRule="auto"/>
              <w:textAlignment w:val="baseline"/>
              <w:rPr>
                <w:rFonts w:asciiTheme="minorHAnsi" w:hAnsiTheme="minorHAnsi" w:cs="Arial"/>
              </w:rPr>
            </w:pPr>
            <w:r w:rsidRPr="008C6E39">
              <w:rPr>
                <w:rFonts w:asciiTheme="minorHAnsi" w:hAnsiTheme="minorHAnsi" w:cs="Arial"/>
              </w:rPr>
              <w:t xml:space="preserve">Mr M22 reported </w:t>
            </w:r>
            <w:r>
              <w:rPr>
                <w:rFonts w:asciiTheme="minorHAnsi" w:hAnsiTheme="minorHAnsi" w:cs="Arial"/>
              </w:rPr>
              <w:t xml:space="preserve">to the Occupational Therapist </w:t>
            </w:r>
            <w:r w:rsidRPr="008C6E39">
              <w:rPr>
                <w:rFonts w:asciiTheme="minorHAnsi" w:hAnsiTheme="minorHAnsi" w:cs="Arial"/>
              </w:rPr>
              <w:t xml:space="preserve">that he </w:t>
            </w:r>
            <w:r>
              <w:rPr>
                <w:rFonts w:asciiTheme="minorHAnsi" w:hAnsiTheme="minorHAnsi" w:cs="Arial"/>
              </w:rPr>
              <w:t>was</w:t>
            </w:r>
            <w:r w:rsidRPr="008C6E39">
              <w:rPr>
                <w:rFonts w:asciiTheme="minorHAnsi" w:hAnsiTheme="minorHAnsi" w:cs="Arial"/>
              </w:rPr>
              <w:t xml:space="preserve"> experiencing pain in his right stump and ha</w:t>
            </w:r>
            <w:r>
              <w:rPr>
                <w:rFonts w:asciiTheme="minorHAnsi" w:hAnsiTheme="minorHAnsi" w:cs="Arial"/>
              </w:rPr>
              <w:t>d</w:t>
            </w:r>
            <w:r w:rsidRPr="008C6E39">
              <w:rPr>
                <w:rFonts w:asciiTheme="minorHAnsi" w:hAnsiTheme="minorHAnsi" w:cs="Arial"/>
              </w:rPr>
              <w:t xml:space="preserve"> what fel</w:t>
            </w:r>
            <w:r>
              <w:rPr>
                <w:rFonts w:asciiTheme="minorHAnsi" w:hAnsiTheme="minorHAnsi" w:cs="Arial"/>
              </w:rPr>
              <w:t>t</w:t>
            </w:r>
            <w:r w:rsidRPr="008C6E39">
              <w:rPr>
                <w:rFonts w:asciiTheme="minorHAnsi" w:hAnsiTheme="minorHAnsi" w:cs="Arial"/>
              </w:rPr>
              <w:t xml:space="preserve"> like bruises around his stump radiating around the back of his right hip. He also reported a burning sensation around his right stump, which on observation ha</w:t>
            </w:r>
            <w:r>
              <w:rPr>
                <w:rFonts w:asciiTheme="minorHAnsi" w:hAnsiTheme="minorHAnsi" w:cs="Arial"/>
              </w:rPr>
              <w:t>d</w:t>
            </w:r>
            <w:r w:rsidRPr="008C6E39">
              <w:rPr>
                <w:rFonts w:asciiTheme="minorHAnsi" w:hAnsiTheme="minorHAnsi" w:cs="Arial"/>
              </w:rPr>
              <w:t xml:space="preserve"> a wound to the right side of his stump which appeared red. This wound ha</w:t>
            </w:r>
            <w:r>
              <w:rPr>
                <w:rFonts w:asciiTheme="minorHAnsi" w:hAnsiTheme="minorHAnsi" w:cs="Arial"/>
              </w:rPr>
              <w:t>d</w:t>
            </w:r>
            <w:r w:rsidRPr="008C6E39">
              <w:rPr>
                <w:rFonts w:asciiTheme="minorHAnsi" w:hAnsiTheme="minorHAnsi" w:cs="Arial"/>
              </w:rPr>
              <w:t xml:space="preserve"> been present for some time, but Mr M22 </w:t>
            </w:r>
            <w:r>
              <w:rPr>
                <w:rFonts w:asciiTheme="minorHAnsi" w:hAnsiTheme="minorHAnsi" w:cs="Arial"/>
              </w:rPr>
              <w:t>wa</w:t>
            </w:r>
            <w:r w:rsidRPr="008C6E39">
              <w:rPr>
                <w:rFonts w:asciiTheme="minorHAnsi" w:hAnsiTheme="minorHAnsi" w:cs="Arial"/>
              </w:rPr>
              <w:t xml:space="preserve">s concerned that his pain </w:t>
            </w:r>
            <w:r>
              <w:rPr>
                <w:rFonts w:asciiTheme="minorHAnsi" w:hAnsiTheme="minorHAnsi" w:cs="Arial"/>
              </w:rPr>
              <w:t>wa</w:t>
            </w:r>
            <w:r w:rsidRPr="008C6E39">
              <w:rPr>
                <w:rFonts w:asciiTheme="minorHAnsi" w:hAnsiTheme="minorHAnsi" w:cs="Arial"/>
              </w:rPr>
              <w:t xml:space="preserve">s increasing and changing to a burning sensation. Mr M22 reported that he </w:t>
            </w:r>
            <w:r>
              <w:rPr>
                <w:rFonts w:asciiTheme="minorHAnsi" w:hAnsiTheme="minorHAnsi" w:cs="Arial"/>
              </w:rPr>
              <w:t>wa</w:t>
            </w:r>
            <w:r w:rsidRPr="008C6E39">
              <w:rPr>
                <w:rFonts w:asciiTheme="minorHAnsi" w:hAnsiTheme="minorHAnsi" w:cs="Arial"/>
              </w:rPr>
              <w:t xml:space="preserve">s drinking regularly, that his appetite </w:t>
            </w:r>
            <w:r>
              <w:rPr>
                <w:rFonts w:asciiTheme="minorHAnsi" w:hAnsiTheme="minorHAnsi" w:cs="Arial"/>
              </w:rPr>
              <w:t>wa</w:t>
            </w:r>
            <w:r w:rsidRPr="008C6E39">
              <w:rPr>
                <w:rFonts w:asciiTheme="minorHAnsi" w:hAnsiTheme="minorHAnsi" w:cs="Arial"/>
              </w:rPr>
              <w:t>s poor</w:t>
            </w:r>
            <w:r>
              <w:rPr>
                <w:rFonts w:asciiTheme="minorHAnsi" w:hAnsiTheme="minorHAnsi" w:cs="Arial"/>
              </w:rPr>
              <w:t xml:space="preserve"> and that this was due to suffering from</w:t>
            </w:r>
            <w:r w:rsidRPr="008C6E39">
              <w:rPr>
                <w:rFonts w:asciiTheme="minorHAnsi" w:hAnsiTheme="minorHAnsi" w:cs="Arial"/>
              </w:rPr>
              <w:t xml:space="preserve"> significant pain.</w:t>
            </w:r>
            <w:r>
              <w:rPr>
                <w:rFonts w:asciiTheme="minorHAnsi" w:hAnsiTheme="minorHAnsi" w:cs="Arial"/>
              </w:rPr>
              <w:t xml:space="preserve"> The </w:t>
            </w:r>
            <w:r w:rsidRPr="008C6E39">
              <w:rPr>
                <w:rFonts w:asciiTheme="minorHAnsi" w:hAnsiTheme="minorHAnsi" w:cs="Arial"/>
              </w:rPr>
              <w:t>OT agreed to raise the concern</w:t>
            </w:r>
            <w:r>
              <w:rPr>
                <w:rFonts w:asciiTheme="minorHAnsi" w:hAnsiTheme="minorHAnsi" w:cs="Arial"/>
              </w:rPr>
              <w:t>s</w:t>
            </w:r>
            <w:r w:rsidRPr="008C6E39">
              <w:rPr>
                <w:rFonts w:asciiTheme="minorHAnsi" w:hAnsiTheme="minorHAnsi" w:cs="Arial"/>
              </w:rPr>
              <w:t xml:space="preserve"> with his GP.</w:t>
            </w:r>
          </w:p>
        </w:tc>
      </w:tr>
      <w:tr w:rsidR="0016727C" w14:paraId="50BA8FAA" w14:textId="77777777" w:rsidTr="00425557">
        <w:tc>
          <w:tcPr>
            <w:tcW w:w="613" w:type="pct"/>
          </w:tcPr>
          <w:p w14:paraId="312C622D" w14:textId="77777777" w:rsidR="0016727C" w:rsidRDefault="0016727C" w:rsidP="00FC7AD1">
            <w:pPr>
              <w:spacing w:after="120" w:line="360" w:lineRule="auto"/>
            </w:pPr>
            <w:r>
              <w:t>4.32</w:t>
            </w:r>
          </w:p>
        </w:tc>
        <w:tc>
          <w:tcPr>
            <w:tcW w:w="4387" w:type="pct"/>
          </w:tcPr>
          <w:p w14:paraId="55CA6611" w14:textId="50060287" w:rsidR="0016727C" w:rsidRPr="0053034B" w:rsidRDefault="0016727C" w:rsidP="00FC7AD1">
            <w:pPr>
              <w:spacing w:after="120" w:line="360" w:lineRule="auto"/>
              <w:rPr>
                <w:rFonts w:cs="Arial"/>
                <w:bCs/>
              </w:rPr>
            </w:pPr>
            <w:r w:rsidRPr="0091524F">
              <w:rPr>
                <w:rFonts w:cs="Arial"/>
                <w:bCs/>
              </w:rPr>
              <w:t xml:space="preserve">22.12.21 </w:t>
            </w:r>
            <w:r>
              <w:rPr>
                <w:rFonts w:cs="Arial"/>
                <w:bCs/>
              </w:rPr>
              <w:t xml:space="preserve">The </w:t>
            </w:r>
            <w:r w:rsidRPr="0091524F">
              <w:rPr>
                <w:rFonts w:cs="Arial"/>
                <w:bCs/>
              </w:rPr>
              <w:t>T</w:t>
            </w:r>
            <w:r>
              <w:rPr>
                <w:rFonts w:cs="Arial"/>
                <w:bCs/>
              </w:rPr>
              <w:t xml:space="preserve">issue </w:t>
            </w:r>
            <w:r w:rsidRPr="0091524F">
              <w:rPr>
                <w:rFonts w:cs="Arial"/>
                <w:bCs/>
              </w:rPr>
              <w:t>V</w:t>
            </w:r>
            <w:r>
              <w:rPr>
                <w:rFonts w:cs="Arial"/>
                <w:bCs/>
              </w:rPr>
              <w:t xml:space="preserve">iability </w:t>
            </w:r>
            <w:r w:rsidRPr="0091524F">
              <w:rPr>
                <w:rFonts w:cs="Arial"/>
                <w:bCs/>
              </w:rPr>
              <w:t>S</w:t>
            </w:r>
            <w:r>
              <w:rPr>
                <w:rFonts w:cs="Arial"/>
                <w:bCs/>
              </w:rPr>
              <w:t>ervice received c</w:t>
            </w:r>
            <w:r w:rsidRPr="0091524F">
              <w:rPr>
                <w:rFonts w:cs="Arial"/>
                <w:bCs/>
              </w:rPr>
              <w:t xml:space="preserve">ontact from OT over growing concern in relation to </w:t>
            </w:r>
            <w:r>
              <w:rPr>
                <w:rFonts w:cs="Arial"/>
                <w:bCs/>
              </w:rPr>
              <w:t xml:space="preserve">Mr M22’s </w:t>
            </w:r>
            <w:r w:rsidRPr="0091524F">
              <w:rPr>
                <w:rFonts w:cs="Arial"/>
                <w:bCs/>
              </w:rPr>
              <w:t xml:space="preserve">pain and discomfort. No contact </w:t>
            </w:r>
            <w:r>
              <w:rPr>
                <w:rFonts w:cs="Arial"/>
                <w:bCs/>
              </w:rPr>
              <w:t xml:space="preserve">had been </w:t>
            </w:r>
            <w:r w:rsidRPr="0091524F">
              <w:rPr>
                <w:rFonts w:cs="Arial"/>
                <w:bCs/>
              </w:rPr>
              <w:t xml:space="preserve">established with Mr M22 via </w:t>
            </w:r>
            <w:r>
              <w:rPr>
                <w:rFonts w:cs="Arial"/>
                <w:bCs/>
              </w:rPr>
              <w:t xml:space="preserve">the </w:t>
            </w:r>
            <w:r w:rsidRPr="0091524F">
              <w:rPr>
                <w:rFonts w:cs="Arial"/>
                <w:bCs/>
              </w:rPr>
              <w:t xml:space="preserve">practice nursing team. </w:t>
            </w:r>
            <w:r>
              <w:rPr>
                <w:rFonts w:cs="Arial"/>
                <w:bCs/>
              </w:rPr>
              <w:t>The OT</w:t>
            </w:r>
            <w:r w:rsidRPr="0091524F">
              <w:rPr>
                <w:rFonts w:cs="Arial"/>
                <w:bCs/>
              </w:rPr>
              <w:t xml:space="preserve"> advised </w:t>
            </w:r>
            <w:r>
              <w:rPr>
                <w:rFonts w:cs="Arial"/>
                <w:bCs/>
              </w:rPr>
              <w:t>they</w:t>
            </w:r>
            <w:r w:rsidRPr="0091524F">
              <w:rPr>
                <w:rFonts w:cs="Arial"/>
                <w:bCs/>
              </w:rPr>
              <w:t xml:space="preserve"> would personally escalate to the GP and request </w:t>
            </w:r>
            <w:r>
              <w:rPr>
                <w:rFonts w:cs="Arial"/>
                <w:bCs/>
              </w:rPr>
              <w:t xml:space="preserve">an </w:t>
            </w:r>
            <w:r w:rsidRPr="0091524F">
              <w:rPr>
                <w:rFonts w:cs="Arial"/>
                <w:bCs/>
              </w:rPr>
              <w:t>urgent referral</w:t>
            </w:r>
            <w:r>
              <w:rPr>
                <w:rFonts w:cs="Arial"/>
                <w:bCs/>
              </w:rPr>
              <w:t>.</w:t>
            </w:r>
          </w:p>
        </w:tc>
      </w:tr>
      <w:tr w:rsidR="0016727C" w14:paraId="7D911132" w14:textId="77777777" w:rsidTr="00425557">
        <w:tc>
          <w:tcPr>
            <w:tcW w:w="613" w:type="pct"/>
          </w:tcPr>
          <w:p w14:paraId="20263F68" w14:textId="77777777" w:rsidR="0016727C" w:rsidRDefault="0016727C" w:rsidP="00FC7AD1">
            <w:pPr>
              <w:spacing w:after="120" w:line="360" w:lineRule="auto"/>
            </w:pPr>
            <w:r>
              <w:lastRenderedPageBreak/>
              <w:t>4.33</w:t>
            </w:r>
          </w:p>
        </w:tc>
        <w:tc>
          <w:tcPr>
            <w:tcW w:w="4387" w:type="pct"/>
          </w:tcPr>
          <w:p w14:paraId="24C03A80" w14:textId="119BD28E" w:rsidR="0016727C" w:rsidRPr="00FC7AD1" w:rsidRDefault="0016727C" w:rsidP="00FC7AD1">
            <w:pPr>
              <w:spacing w:after="120" w:line="360" w:lineRule="auto"/>
              <w:rPr>
                <w:rFonts w:cs="Arial"/>
              </w:rPr>
            </w:pPr>
            <w:r w:rsidRPr="009E22E8">
              <w:rPr>
                <w:rFonts w:cs="Arial"/>
              </w:rPr>
              <w:t xml:space="preserve">22.12.21 </w:t>
            </w:r>
            <w:r>
              <w:rPr>
                <w:rFonts w:cs="Arial"/>
              </w:rPr>
              <w:t xml:space="preserve">The </w:t>
            </w:r>
            <w:r w:rsidRPr="009E22E8">
              <w:rPr>
                <w:rFonts w:cs="Arial"/>
              </w:rPr>
              <w:t xml:space="preserve">Tissue Viability </w:t>
            </w:r>
            <w:r>
              <w:rPr>
                <w:rFonts w:cs="Arial"/>
              </w:rPr>
              <w:t xml:space="preserve">confirm to the GP that they </w:t>
            </w:r>
            <w:r w:rsidRPr="009E22E8">
              <w:rPr>
                <w:rFonts w:cs="Arial"/>
              </w:rPr>
              <w:t xml:space="preserve">are involved. </w:t>
            </w:r>
            <w:r>
              <w:rPr>
                <w:rFonts w:cs="Arial"/>
              </w:rPr>
              <w:t xml:space="preserve">An </w:t>
            </w:r>
            <w:r w:rsidRPr="009E22E8">
              <w:rPr>
                <w:rFonts w:cs="Arial"/>
              </w:rPr>
              <w:t>Email </w:t>
            </w:r>
            <w:r>
              <w:rPr>
                <w:rFonts w:cs="Arial"/>
              </w:rPr>
              <w:t xml:space="preserve">was </w:t>
            </w:r>
            <w:r w:rsidRPr="009E22E8">
              <w:rPr>
                <w:rFonts w:cs="Arial"/>
              </w:rPr>
              <w:t>sent to T</w:t>
            </w:r>
            <w:r>
              <w:rPr>
                <w:rFonts w:cs="Arial"/>
              </w:rPr>
              <w:t xml:space="preserve">issue </w:t>
            </w:r>
            <w:r w:rsidRPr="009E22E8">
              <w:rPr>
                <w:rFonts w:cs="Arial"/>
              </w:rPr>
              <w:t>V</w:t>
            </w:r>
            <w:r>
              <w:rPr>
                <w:rFonts w:cs="Arial"/>
              </w:rPr>
              <w:t>iability by the OT</w:t>
            </w:r>
            <w:r w:rsidRPr="009E22E8">
              <w:rPr>
                <w:rFonts w:cs="Arial"/>
              </w:rPr>
              <w:t xml:space="preserve"> to update </w:t>
            </w:r>
            <w:r>
              <w:rPr>
                <w:rFonts w:cs="Arial"/>
              </w:rPr>
              <w:t>them</w:t>
            </w:r>
            <w:r w:rsidRPr="009E22E8">
              <w:rPr>
                <w:rFonts w:cs="Arial"/>
              </w:rPr>
              <w:t xml:space="preserve"> </w:t>
            </w:r>
            <w:r>
              <w:rPr>
                <w:rFonts w:cs="Arial"/>
              </w:rPr>
              <w:t xml:space="preserve">about </w:t>
            </w:r>
            <w:r w:rsidRPr="009E22E8">
              <w:rPr>
                <w:rFonts w:cs="Arial"/>
              </w:rPr>
              <w:t>concern</w:t>
            </w:r>
            <w:r>
              <w:rPr>
                <w:rFonts w:cs="Arial"/>
              </w:rPr>
              <w:t>s</w:t>
            </w:r>
            <w:r w:rsidRPr="009E22E8">
              <w:rPr>
                <w:rFonts w:cs="Arial"/>
              </w:rPr>
              <w:t xml:space="preserve"> raised from today’s visit regarding pain and redness around wound.</w:t>
            </w:r>
          </w:p>
        </w:tc>
      </w:tr>
      <w:tr w:rsidR="0016727C" w14:paraId="7B1D2DB4" w14:textId="77777777" w:rsidTr="00425557">
        <w:tc>
          <w:tcPr>
            <w:tcW w:w="613" w:type="pct"/>
          </w:tcPr>
          <w:p w14:paraId="414D9D0E" w14:textId="77777777" w:rsidR="0016727C" w:rsidRDefault="0016727C" w:rsidP="00FC7AD1">
            <w:pPr>
              <w:spacing w:after="120" w:line="360" w:lineRule="auto"/>
            </w:pPr>
            <w:r>
              <w:t>4.34</w:t>
            </w:r>
          </w:p>
        </w:tc>
        <w:tc>
          <w:tcPr>
            <w:tcW w:w="4387" w:type="pct"/>
          </w:tcPr>
          <w:p w14:paraId="5DED7E8F" w14:textId="21E95F70" w:rsidR="0016727C" w:rsidRPr="00FC7AD1" w:rsidRDefault="0016727C" w:rsidP="00FC7AD1">
            <w:pPr>
              <w:spacing w:after="120" w:line="360" w:lineRule="auto"/>
              <w:rPr>
                <w:rFonts w:cs="Arial"/>
              </w:rPr>
            </w:pPr>
            <w:r w:rsidRPr="00E01F13">
              <w:rPr>
                <w:rFonts w:cs="Arial"/>
              </w:rPr>
              <w:t xml:space="preserve">23.12.21 </w:t>
            </w:r>
            <w:r>
              <w:rPr>
                <w:rFonts w:cs="Arial"/>
              </w:rPr>
              <w:t>A r</w:t>
            </w:r>
            <w:r w:rsidRPr="00E01F13">
              <w:rPr>
                <w:rFonts w:cs="Arial"/>
              </w:rPr>
              <w:t xml:space="preserve">eferral </w:t>
            </w:r>
            <w:r>
              <w:rPr>
                <w:rFonts w:cs="Arial"/>
              </w:rPr>
              <w:t xml:space="preserve">was made </w:t>
            </w:r>
            <w:r w:rsidRPr="00E01F13">
              <w:rPr>
                <w:rFonts w:cs="Arial"/>
              </w:rPr>
              <w:t xml:space="preserve">to dermatology at the request of the tissue viability nurse. </w:t>
            </w:r>
          </w:p>
        </w:tc>
      </w:tr>
      <w:tr w:rsidR="0016727C" w14:paraId="697F39CD" w14:textId="77777777" w:rsidTr="00425557">
        <w:tc>
          <w:tcPr>
            <w:tcW w:w="613" w:type="pct"/>
          </w:tcPr>
          <w:p w14:paraId="296F58F7" w14:textId="77777777" w:rsidR="0016727C" w:rsidRDefault="0016727C" w:rsidP="00FC7AD1">
            <w:pPr>
              <w:spacing w:after="120" w:line="360" w:lineRule="auto"/>
            </w:pPr>
            <w:r>
              <w:t>4.35</w:t>
            </w:r>
          </w:p>
        </w:tc>
        <w:tc>
          <w:tcPr>
            <w:tcW w:w="4387" w:type="pct"/>
          </w:tcPr>
          <w:p w14:paraId="42FFC6ED" w14:textId="10FF1AF7" w:rsidR="0016727C" w:rsidRPr="00FC7AD1" w:rsidRDefault="0016727C" w:rsidP="00FC7AD1">
            <w:pPr>
              <w:spacing w:after="120" w:line="360" w:lineRule="auto"/>
              <w:rPr>
                <w:rFonts w:cs="Arial"/>
                <w:bCs/>
              </w:rPr>
            </w:pPr>
            <w:r w:rsidRPr="00E01F13">
              <w:rPr>
                <w:rFonts w:cs="Arial"/>
                <w:bCs/>
              </w:rPr>
              <w:t xml:space="preserve">24.12.21 </w:t>
            </w:r>
            <w:r>
              <w:rPr>
                <w:rFonts w:cs="Arial"/>
                <w:bCs/>
              </w:rPr>
              <w:t xml:space="preserve">The </w:t>
            </w:r>
            <w:r w:rsidRPr="00E01F13">
              <w:rPr>
                <w:rFonts w:cs="Arial"/>
                <w:bCs/>
              </w:rPr>
              <w:t>T</w:t>
            </w:r>
            <w:r>
              <w:rPr>
                <w:rFonts w:cs="Arial"/>
                <w:bCs/>
              </w:rPr>
              <w:t xml:space="preserve">issue </w:t>
            </w:r>
            <w:r w:rsidRPr="00E01F13">
              <w:rPr>
                <w:rFonts w:cs="Arial"/>
                <w:bCs/>
              </w:rPr>
              <w:t>V</w:t>
            </w:r>
            <w:r>
              <w:rPr>
                <w:rFonts w:cs="Arial"/>
                <w:bCs/>
              </w:rPr>
              <w:t xml:space="preserve">iability </w:t>
            </w:r>
            <w:r w:rsidRPr="00E01F13">
              <w:rPr>
                <w:rFonts w:cs="Arial"/>
                <w:bCs/>
              </w:rPr>
              <w:t>S</w:t>
            </w:r>
            <w:r>
              <w:rPr>
                <w:rFonts w:cs="Arial"/>
                <w:bCs/>
              </w:rPr>
              <w:t xml:space="preserve">ervice </w:t>
            </w:r>
            <w:r w:rsidRPr="00E01F13">
              <w:rPr>
                <w:rFonts w:cs="Arial"/>
                <w:bCs/>
              </w:rPr>
              <w:t>reviewed</w:t>
            </w:r>
            <w:r>
              <w:rPr>
                <w:rFonts w:cs="Arial"/>
                <w:bCs/>
              </w:rPr>
              <w:t xml:space="preserve"> Mr M22’s case and noted that the </w:t>
            </w:r>
            <w:r w:rsidRPr="00E01F13">
              <w:rPr>
                <w:rFonts w:cs="Arial"/>
                <w:bCs/>
              </w:rPr>
              <w:t xml:space="preserve">GP had completed </w:t>
            </w:r>
            <w:r>
              <w:rPr>
                <w:rFonts w:cs="Arial"/>
                <w:bCs/>
              </w:rPr>
              <w:t xml:space="preserve">the </w:t>
            </w:r>
            <w:r w:rsidRPr="00E01F13">
              <w:rPr>
                <w:rFonts w:cs="Arial"/>
                <w:bCs/>
              </w:rPr>
              <w:t xml:space="preserve">recommended referral to dermatology. There was identification of non-blanching pressure damage and so a recommendation was made for </w:t>
            </w:r>
            <w:r>
              <w:rPr>
                <w:rFonts w:cs="Arial"/>
                <w:bCs/>
              </w:rPr>
              <w:t xml:space="preserve">a </w:t>
            </w:r>
            <w:r w:rsidRPr="00E01F13">
              <w:rPr>
                <w:rFonts w:cs="Arial"/>
                <w:bCs/>
              </w:rPr>
              <w:t xml:space="preserve">specialist mattress </w:t>
            </w:r>
            <w:r>
              <w:rPr>
                <w:rFonts w:cs="Arial"/>
                <w:bCs/>
              </w:rPr>
              <w:t xml:space="preserve">and to review again in </w:t>
            </w:r>
            <w:r w:rsidRPr="00E01F13">
              <w:rPr>
                <w:rFonts w:cs="Arial"/>
                <w:bCs/>
              </w:rPr>
              <w:t>one month.</w:t>
            </w:r>
          </w:p>
        </w:tc>
      </w:tr>
      <w:tr w:rsidR="0016727C" w14:paraId="2AC34657" w14:textId="77777777" w:rsidTr="00425557">
        <w:tc>
          <w:tcPr>
            <w:tcW w:w="613" w:type="pct"/>
          </w:tcPr>
          <w:p w14:paraId="50D96728" w14:textId="77777777" w:rsidR="0016727C" w:rsidRDefault="0016727C" w:rsidP="00FC7AD1">
            <w:pPr>
              <w:spacing w:after="120" w:line="360" w:lineRule="auto"/>
            </w:pPr>
            <w:r>
              <w:t>4.36</w:t>
            </w:r>
          </w:p>
        </w:tc>
        <w:tc>
          <w:tcPr>
            <w:tcW w:w="4387" w:type="pct"/>
          </w:tcPr>
          <w:p w14:paraId="11A96639" w14:textId="25BA2FF4" w:rsidR="0016727C" w:rsidRPr="00820895" w:rsidRDefault="0016727C" w:rsidP="00FC7AD1">
            <w:pPr>
              <w:spacing w:after="120" w:line="360" w:lineRule="auto"/>
            </w:pPr>
            <w:r>
              <w:t>D</w:t>
            </w:r>
            <w:r w:rsidRPr="00820895">
              <w:t xml:space="preserve">uring this period Mr M22 had contact from a Tenancy Sustainment Officer (TSO) about his anticipated move to his new property and specifically any assistance he would require </w:t>
            </w:r>
            <w:proofErr w:type="gramStart"/>
            <w:r w:rsidRPr="00820895">
              <w:t>in order to</w:t>
            </w:r>
            <w:proofErr w:type="gramEnd"/>
            <w:r w:rsidRPr="00820895">
              <w:t xml:space="preserve"> achieve the move. </w:t>
            </w:r>
          </w:p>
        </w:tc>
      </w:tr>
      <w:tr w:rsidR="0016727C" w14:paraId="1DCACB4A" w14:textId="77777777" w:rsidTr="00425557">
        <w:tc>
          <w:tcPr>
            <w:tcW w:w="613" w:type="pct"/>
          </w:tcPr>
          <w:p w14:paraId="206E42D6" w14:textId="77777777" w:rsidR="0016727C" w:rsidRDefault="0016727C" w:rsidP="00FC7AD1">
            <w:pPr>
              <w:spacing w:after="120" w:line="360" w:lineRule="auto"/>
            </w:pPr>
            <w:r>
              <w:t>4.37</w:t>
            </w:r>
          </w:p>
        </w:tc>
        <w:tc>
          <w:tcPr>
            <w:tcW w:w="4387" w:type="pct"/>
          </w:tcPr>
          <w:p w14:paraId="3CFF00B4" w14:textId="72CE5C49" w:rsidR="0016727C" w:rsidRPr="00FC7AD1" w:rsidRDefault="0016727C" w:rsidP="00FC7AD1">
            <w:pPr>
              <w:spacing w:after="120" w:line="360" w:lineRule="auto"/>
              <w:rPr>
                <w:rFonts w:cs="Arial"/>
              </w:rPr>
            </w:pPr>
            <w:proofErr w:type="gramStart"/>
            <w:r w:rsidRPr="0019112C">
              <w:t xml:space="preserve">04.01.22 </w:t>
            </w:r>
            <w:r w:rsidRPr="0019112C">
              <w:rPr>
                <w:rFonts w:cs="Arial"/>
              </w:rPr>
              <w:t xml:space="preserve"> Mr</w:t>
            </w:r>
            <w:proofErr w:type="gramEnd"/>
            <w:r w:rsidRPr="0019112C">
              <w:rPr>
                <w:rFonts w:cs="Arial"/>
              </w:rPr>
              <w:t xml:space="preserve"> M22 attended the Dermatology service for ulcerating wounds to </w:t>
            </w:r>
            <w:r>
              <w:rPr>
                <w:rFonts w:cs="Arial"/>
              </w:rPr>
              <w:t xml:space="preserve">his </w:t>
            </w:r>
            <w:r w:rsidRPr="0019112C">
              <w:rPr>
                <w:rFonts w:cs="Arial"/>
              </w:rPr>
              <w:t xml:space="preserve">left thigh due to severe peripheral vascular disease. </w:t>
            </w:r>
          </w:p>
        </w:tc>
      </w:tr>
      <w:tr w:rsidR="0016727C" w14:paraId="5C2E51C0" w14:textId="77777777" w:rsidTr="00425557">
        <w:tc>
          <w:tcPr>
            <w:tcW w:w="613" w:type="pct"/>
          </w:tcPr>
          <w:p w14:paraId="07E59DD1" w14:textId="77777777" w:rsidR="0016727C" w:rsidRDefault="0016727C" w:rsidP="00FC7AD1">
            <w:pPr>
              <w:spacing w:after="120" w:line="360" w:lineRule="auto"/>
            </w:pPr>
            <w:r>
              <w:t>4.38</w:t>
            </w:r>
          </w:p>
        </w:tc>
        <w:tc>
          <w:tcPr>
            <w:tcW w:w="4387" w:type="pct"/>
          </w:tcPr>
          <w:p w14:paraId="60313E42" w14:textId="71B742A5" w:rsidR="0016727C" w:rsidRDefault="0016727C" w:rsidP="00FC7AD1">
            <w:pPr>
              <w:spacing w:after="120" w:line="360" w:lineRule="auto"/>
            </w:pPr>
            <w:r w:rsidRPr="00B63E92">
              <w:t>On 05</w:t>
            </w:r>
            <w:r>
              <w:t>.01.22 and</w:t>
            </w:r>
            <w:r w:rsidRPr="00B63E92">
              <w:t xml:space="preserve"> 12</w:t>
            </w:r>
            <w:r>
              <w:t>.01.22</w:t>
            </w:r>
            <w:r w:rsidRPr="00B63E92">
              <w:t xml:space="preserve"> Mr M22 attended the practice nurse for wound dressing. </w:t>
            </w:r>
          </w:p>
        </w:tc>
      </w:tr>
      <w:tr w:rsidR="0016727C" w14:paraId="4AE21DD5" w14:textId="77777777" w:rsidTr="00425557">
        <w:tc>
          <w:tcPr>
            <w:tcW w:w="613" w:type="pct"/>
          </w:tcPr>
          <w:p w14:paraId="7803228A" w14:textId="77777777" w:rsidR="0016727C" w:rsidRDefault="0016727C" w:rsidP="00FC7AD1">
            <w:pPr>
              <w:spacing w:after="120" w:line="360" w:lineRule="auto"/>
            </w:pPr>
            <w:r>
              <w:t>4.39</w:t>
            </w:r>
          </w:p>
        </w:tc>
        <w:tc>
          <w:tcPr>
            <w:tcW w:w="4387" w:type="pct"/>
          </w:tcPr>
          <w:p w14:paraId="5EC51C78" w14:textId="6192DD1F" w:rsidR="0016727C" w:rsidRPr="00FC7AD1" w:rsidRDefault="0016727C" w:rsidP="00FC7AD1">
            <w:pPr>
              <w:spacing w:after="120" w:line="360" w:lineRule="auto"/>
              <w:rPr>
                <w:rFonts w:cs="Arial"/>
                <w:bCs/>
              </w:rPr>
            </w:pPr>
            <w:r w:rsidRPr="00D42B16">
              <w:rPr>
                <w:rFonts w:cs="Arial"/>
                <w:bCs/>
              </w:rPr>
              <w:t>08.01.22 A</w:t>
            </w:r>
            <w:r>
              <w:rPr>
                <w:rFonts w:cs="Arial"/>
                <w:bCs/>
              </w:rPr>
              <w:t xml:space="preserve">dult </w:t>
            </w:r>
            <w:r w:rsidRPr="00D42B16">
              <w:rPr>
                <w:rFonts w:cs="Arial"/>
                <w:bCs/>
              </w:rPr>
              <w:t>I</w:t>
            </w:r>
            <w:r>
              <w:rPr>
                <w:rFonts w:cs="Arial"/>
                <w:bCs/>
              </w:rPr>
              <w:t xml:space="preserve">ntegrated </w:t>
            </w:r>
            <w:r w:rsidRPr="00D42B16">
              <w:rPr>
                <w:rFonts w:cs="Arial"/>
                <w:bCs/>
              </w:rPr>
              <w:t>C</w:t>
            </w:r>
            <w:r>
              <w:rPr>
                <w:rFonts w:cs="Arial"/>
                <w:bCs/>
              </w:rPr>
              <w:t>are</w:t>
            </w:r>
            <w:r w:rsidRPr="00D42B16">
              <w:rPr>
                <w:rFonts w:cs="Arial"/>
                <w:bCs/>
              </w:rPr>
              <w:t xml:space="preserve"> referral received. Home visit </w:t>
            </w:r>
            <w:r>
              <w:rPr>
                <w:rFonts w:cs="Arial"/>
                <w:bCs/>
              </w:rPr>
              <w:t>made however n</w:t>
            </w:r>
            <w:r w:rsidRPr="00D42B16">
              <w:rPr>
                <w:rFonts w:cs="Arial"/>
                <w:bCs/>
              </w:rPr>
              <w:t xml:space="preserve">o treatment </w:t>
            </w:r>
            <w:r>
              <w:rPr>
                <w:rFonts w:cs="Arial"/>
                <w:bCs/>
              </w:rPr>
              <w:t xml:space="preserve">was </w:t>
            </w:r>
            <w:r w:rsidRPr="00D42B16">
              <w:rPr>
                <w:rFonts w:cs="Arial"/>
                <w:bCs/>
              </w:rPr>
              <w:t xml:space="preserve">given as no dressings were present. </w:t>
            </w:r>
            <w:r>
              <w:rPr>
                <w:rFonts w:cs="Arial"/>
                <w:bCs/>
              </w:rPr>
              <w:t xml:space="preserve">It was </w:t>
            </w:r>
            <w:r w:rsidRPr="00D42B16">
              <w:rPr>
                <w:rFonts w:cs="Arial"/>
                <w:bCs/>
              </w:rPr>
              <w:t>noted</w:t>
            </w:r>
            <w:r>
              <w:rPr>
                <w:rFonts w:cs="Arial"/>
                <w:bCs/>
              </w:rPr>
              <w:t xml:space="preserve"> that three </w:t>
            </w:r>
            <w:r w:rsidRPr="00D42B16">
              <w:rPr>
                <w:rFonts w:cs="Arial"/>
                <w:bCs/>
              </w:rPr>
              <w:t xml:space="preserve">visits </w:t>
            </w:r>
            <w:r>
              <w:rPr>
                <w:rFonts w:cs="Arial"/>
                <w:bCs/>
              </w:rPr>
              <w:t xml:space="preserve">were booked </w:t>
            </w:r>
            <w:r w:rsidRPr="00D42B16">
              <w:rPr>
                <w:rFonts w:cs="Arial"/>
                <w:bCs/>
              </w:rPr>
              <w:t xml:space="preserve">with </w:t>
            </w:r>
            <w:r>
              <w:rPr>
                <w:rFonts w:cs="Arial"/>
                <w:bCs/>
              </w:rPr>
              <w:t xml:space="preserve">the </w:t>
            </w:r>
            <w:r w:rsidRPr="00D42B16">
              <w:rPr>
                <w:rFonts w:cs="Arial"/>
                <w:bCs/>
              </w:rPr>
              <w:t xml:space="preserve">Practice nurse for </w:t>
            </w:r>
            <w:r>
              <w:rPr>
                <w:rFonts w:cs="Arial"/>
                <w:bCs/>
              </w:rPr>
              <w:t xml:space="preserve">the </w:t>
            </w:r>
            <w:r w:rsidRPr="00D42B16">
              <w:rPr>
                <w:rFonts w:cs="Arial"/>
                <w:bCs/>
              </w:rPr>
              <w:t>following week and</w:t>
            </w:r>
            <w:r>
              <w:rPr>
                <w:rFonts w:cs="Arial"/>
                <w:bCs/>
              </w:rPr>
              <w:t xml:space="preserve"> Mr M22 </w:t>
            </w:r>
            <w:r w:rsidRPr="00D42B16">
              <w:rPr>
                <w:rFonts w:cs="Arial"/>
                <w:bCs/>
              </w:rPr>
              <w:t xml:space="preserve">was therefore discharged from the service as </w:t>
            </w:r>
            <w:r>
              <w:rPr>
                <w:rFonts w:cs="Arial"/>
                <w:bCs/>
              </w:rPr>
              <w:t xml:space="preserve">he was </w:t>
            </w:r>
            <w:r w:rsidRPr="00D42B16">
              <w:rPr>
                <w:rFonts w:cs="Arial"/>
                <w:bCs/>
              </w:rPr>
              <w:t xml:space="preserve">not </w:t>
            </w:r>
            <w:r>
              <w:rPr>
                <w:rFonts w:cs="Arial"/>
                <w:bCs/>
              </w:rPr>
              <w:t xml:space="preserve">considered to be </w:t>
            </w:r>
            <w:r w:rsidRPr="00D42B16">
              <w:rPr>
                <w:rFonts w:cs="Arial"/>
                <w:bCs/>
              </w:rPr>
              <w:t>house bound.</w:t>
            </w:r>
          </w:p>
        </w:tc>
      </w:tr>
      <w:tr w:rsidR="0016727C" w14:paraId="4EE9FC3E" w14:textId="77777777" w:rsidTr="00425557">
        <w:tc>
          <w:tcPr>
            <w:tcW w:w="613" w:type="pct"/>
          </w:tcPr>
          <w:p w14:paraId="5F9F3FFB" w14:textId="77777777" w:rsidR="0016727C" w:rsidRDefault="0016727C" w:rsidP="00FC7AD1">
            <w:pPr>
              <w:spacing w:after="120" w:line="360" w:lineRule="auto"/>
            </w:pPr>
            <w:r>
              <w:t>4.40</w:t>
            </w:r>
          </w:p>
        </w:tc>
        <w:tc>
          <w:tcPr>
            <w:tcW w:w="4387" w:type="pct"/>
          </w:tcPr>
          <w:p w14:paraId="222DB79E" w14:textId="5A39D669" w:rsidR="0016727C" w:rsidRPr="00FC7AD1" w:rsidRDefault="0016727C" w:rsidP="00FC7AD1">
            <w:pPr>
              <w:spacing w:after="120" w:line="360" w:lineRule="auto"/>
              <w:rPr>
                <w:rFonts w:cs="Arial"/>
              </w:rPr>
            </w:pPr>
            <w:r w:rsidRPr="002F4FBF">
              <w:rPr>
                <w:rFonts w:cs="Arial"/>
              </w:rPr>
              <w:t xml:space="preserve">12.01.22 GP - Reviewed at request of primary care health visitor. </w:t>
            </w:r>
            <w:r>
              <w:rPr>
                <w:rFonts w:cs="Arial"/>
              </w:rPr>
              <w:t>The GP a</w:t>
            </w:r>
            <w:r w:rsidRPr="002F4FBF">
              <w:rPr>
                <w:rFonts w:cs="Arial"/>
              </w:rPr>
              <w:t xml:space="preserve">dvised </w:t>
            </w:r>
            <w:r>
              <w:rPr>
                <w:rFonts w:cs="Arial"/>
              </w:rPr>
              <w:t xml:space="preserve">that Mr M22 </w:t>
            </w:r>
            <w:r w:rsidRPr="002F4FBF">
              <w:rPr>
                <w:rFonts w:cs="Arial"/>
              </w:rPr>
              <w:t xml:space="preserve">required IV anti-biotics. </w:t>
            </w:r>
            <w:r>
              <w:rPr>
                <w:rFonts w:cs="Arial"/>
              </w:rPr>
              <w:t>An a</w:t>
            </w:r>
            <w:r w:rsidRPr="002F4FBF">
              <w:rPr>
                <w:rFonts w:cs="Arial"/>
              </w:rPr>
              <w:t>mbulance</w:t>
            </w:r>
            <w:r>
              <w:rPr>
                <w:rFonts w:cs="Arial"/>
              </w:rPr>
              <w:t xml:space="preserve"> was</w:t>
            </w:r>
            <w:r w:rsidRPr="002F4FBF">
              <w:rPr>
                <w:rFonts w:cs="Arial"/>
              </w:rPr>
              <w:t xml:space="preserve"> arranged, and </w:t>
            </w:r>
            <w:r>
              <w:rPr>
                <w:rFonts w:cs="Arial"/>
              </w:rPr>
              <w:t xml:space="preserve">he was </w:t>
            </w:r>
            <w:r w:rsidRPr="002F4FBF">
              <w:rPr>
                <w:rFonts w:cs="Arial"/>
              </w:rPr>
              <w:t>transferred to Kings Mill hospital</w:t>
            </w:r>
          </w:p>
        </w:tc>
      </w:tr>
      <w:tr w:rsidR="0016727C" w14:paraId="40236B85" w14:textId="77777777" w:rsidTr="00425557">
        <w:tc>
          <w:tcPr>
            <w:tcW w:w="613" w:type="pct"/>
          </w:tcPr>
          <w:p w14:paraId="017EBA2F" w14:textId="77777777" w:rsidR="0016727C" w:rsidRDefault="0016727C" w:rsidP="00FC7AD1">
            <w:pPr>
              <w:spacing w:after="120" w:line="360" w:lineRule="auto"/>
            </w:pPr>
            <w:r>
              <w:t>4.41</w:t>
            </w:r>
          </w:p>
        </w:tc>
        <w:tc>
          <w:tcPr>
            <w:tcW w:w="4387" w:type="pct"/>
          </w:tcPr>
          <w:p w14:paraId="5EECDE92" w14:textId="77E3666A" w:rsidR="0016727C" w:rsidRPr="00FC7AD1" w:rsidRDefault="0016727C" w:rsidP="00FC7AD1">
            <w:pPr>
              <w:spacing w:after="120" w:line="360" w:lineRule="auto"/>
              <w:rPr>
                <w:rFonts w:cs="Arial"/>
              </w:rPr>
            </w:pPr>
            <w:r w:rsidRPr="008E3CC1">
              <w:rPr>
                <w:rFonts w:cs="Arial"/>
              </w:rPr>
              <w:t xml:space="preserve">19.01.22 </w:t>
            </w:r>
            <w:r>
              <w:rPr>
                <w:rFonts w:cs="Arial"/>
              </w:rPr>
              <w:t>Mr M22 was t</w:t>
            </w:r>
            <w:r w:rsidRPr="008E3CC1">
              <w:rPr>
                <w:rFonts w:cs="Arial"/>
              </w:rPr>
              <w:t>ransferred from</w:t>
            </w:r>
            <w:r>
              <w:rPr>
                <w:rFonts w:cs="Arial"/>
              </w:rPr>
              <w:t xml:space="preserve"> Kings Mill Hospital to Nottingham University Hospital</w:t>
            </w:r>
            <w:r w:rsidRPr="008E3CC1">
              <w:rPr>
                <w:rFonts w:cs="Arial"/>
              </w:rPr>
              <w:t xml:space="preserve">, he had presented with an ischaemic right above knee amputation stump and infected ulcers. </w:t>
            </w:r>
            <w:r>
              <w:rPr>
                <w:rFonts w:cs="Arial"/>
              </w:rPr>
              <w:t>He was t</w:t>
            </w:r>
            <w:r w:rsidRPr="008E3CC1">
              <w:rPr>
                <w:rFonts w:cs="Arial"/>
              </w:rPr>
              <w:t>reated with IV antibiotics</w:t>
            </w:r>
            <w:r>
              <w:rPr>
                <w:rFonts w:cs="Arial"/>
              </w:rPr>
              <w:t xml:space="preserve">, provided with </w:t>
            </w:r>
            <w:r w:rsidRPr="008E3CC1">
              <w:rPr>
                <w:rFonts w:cs="Arial"/>
              </w:rPr>
              <w:t xml:space="preserve">wound </w:t>
            </w:r>
            <w:proofErr w:type="gramStart"/>
            <w:r w:rsidRPr="008E3CC1">
              <w:rPr>
                <w:rFonts w:cs="Arial"/>
              </w:rPr>
              <w:t>care</w:t>
            </w:r>
            <w:proofErr w:type="gramEnd"/>
            <w:r>
              <w:rPr>
                <w:rFonts w:cs="Arial"/>
              </w:rPr>
              <w:t xml:space="preserve"> and</w:t>
            </w:r>
            <w:r w:rsidRPr="008E3CC1">
              <w:rPr>
                <w:rFonts w:cs="Arial"/>
              </w:rPr>
              <w:t xml:space="preserve"> underwent debridement of the wounds. </w:t>
            </w:r>
            <w:r>
              <w:rPr>
                <w:rFonts w:cs="Arial"/>
              </w:rPr>
              <w:t>The i</w:t>
            </w:r>
            <w:r w:rsidRPr="008E3CC1">
              <w:rPr>
                <w:rFonts w:cs="Arial"/>
              </w:rPr>
              <w:t>nitially plan was for Mr M22 to undergo a</w:t>
            </w:r>
            <w:r>
              <w:rPr>
                <w:rFonts w:cs="Arial"/>
              </w:rPr>
              <w:t xml:space="preserve"> procedure to improve blood flow in </w:t>
            </w:r>
            <w:r>
              <w:rPr>
                <w:rFonts w:cs="Arial"/>
              </w:rPr>
              <w:lastRenderedPageBreak/>
              <w:t>his arteries</w:t>
            </w:r>
            <w:r w:rsidRPr="008E3CC1">
              <w:rPr>
                <w:rFonts w:cs="Arial"/>
              </w:rPr>
              <w:t xml:space="preserve"> </w:t>
            </w:r>
            <w:r>
              <w:rPr>
                <w:rFonts w:cs="Arial"/>
              </w:rPr>
              <w:t>(</w:t>
            </w:r>
            <w:r w:rsidRPr="008E3CC1">
              <w:rPr>
                <w:rFonts w:cs="Arial"/>
              </w:rPr>
              <w:t>endarterectomy</w:t>
            </w:r>
            <w:r>
              <w:rPr>
                <w:rFonts w:cs="Arial"/>
              </w:rPr>
              <w:t>),</w:t>
            </w:r>
            <w:r w:rsidRPr="008E3CC1">
              <w:rPr>
                <w:rFonts w:cs="Arial"/>
              </w:rPr>
              <w:t xml:space="preserve"> but this was reviewed and deemed unsuitable due to long standing risk factors.</w:t>
            </w:r>
          </w:p>
        </w:tc>
      </w:tr>
      <w:tr w:rsidR="0016727C" w14:paraId="0B0863CA" w14:textId="77777777" w:rsidTr="00425557">
        <w:tc>
          <w:tcPr>
            <w:tcW w:w="613" w:type="pct"/>
          </w:tcPr>
          <w:p w14:paraId="29E0970C" w14:textId="77777777" w:rsidR="0016727C" w:rsidRDefault="0016727C" w:rsidP="00FC7AD1">
            <w:pPr>
              <w:spacing w:after="120" w:line="360" w:lineRule="auto"/>
            </w:pPr>
            <w:r>
              <w:lastRenderedPageBreak/>
              <w:t>4.42</w:t>
            </w:r>
          </w:p>
        </w:tc>
        <w:tc>
          <w:tcPr>
            <w:tcW w:w="4387" w:type="pct"/>
          </w:tcPr>
          <w:p w14:paraId="745564C9" w14:textId="69DCDC67" w:rsidR="0016727C" w:rsidRPr="008E3CC1" w:rsidRDefault="0016727C" w:rsidP="00FC7AD1">
            <w:pPr>
              <w:spacing w:after="120" w:line="360" w:lineRule="auto"/>
              <w:rPr>
                <w:rFonts w:cs="Arial"/>
              </w:rPr>
            </w:pPr>
            <w:r w:rsidRPr="008E3CC1">
              <w:rPr>
                <w:rFonts w:cs="Arial"/>
              </w:rPr>
              <w:t>Mr M22 received nutritional support while an in-patient and</w:t>
            </w:r>
            <w:r>
              <w:rPr>
                <w:rFonts w:cs="Arial"/>
              </w:rPr>
              <w:t xml:space="preserve"> upon discharge was</w:t>
            </w:r>
            <w:r w:rsidRPr="008E3CC1">
              <w:rPr>
                <w:rFonts w:cs="Arial"/>
              </w:rPr>
              <w:t xml:space="preserve"> prescri</w:t>
            </w:r>
            <w:r>
              <w:rPr>
                <w:rFonts w:cs="Arial"/>
              </w:rPr>
              <w:t>bed</w:t>
            </w:r>
            <w:r w:rsidRPr="008E3CC1">
              <w:rPr>
                <w:rFonts w:cs="Arial"/>
              </w:rPr>
              <w:t xml:space="preserve"> a month’s supply of </w:t>
            </w:r>
            <w:proofErr w:type="spellStart"/>
            <w:r w:rsidRPr="008E3CC1">
              <w:rPr>
                <w:rFonts w:cs="Arial"/>
              </w:rPr>
              <w:t>Scandishake</w:t>
            </w:r>
            <w:proofErr w:type="spellEnd"/>
            <w:r>
              <w:rPr>
                <w:rFonts w:cs="Arial"/>
              </w:rPr>
              <w:t xml:space="preserve">. </w:t>
            </w:r>
            <w:r w:rsidRPr="008E3CC1">
              <w:rPr>
                <w:rFonts w:cs="Arial"/>
              </w:rPr>
              <w:t xml:space="preserve">  </w:t>
            </w:r>
            <w:r>
              <w:rPr>
                <w:rFonts w:cs="Arial"/>
              </w:rPr>
              <w:t>I</w:t>
            </w:r>
            <w:r w:rsidRPr="008E3CC1">
              <w:rPr>
                <w:rFonts w:cs="Arial"/>
              </w:rPr>
              <w:t>nformation was shared with the GP with a request for follow up in the community</w:t>
            </w:r>
            <w:r>
              <w:rPr>
                <w:rFonts w:cs="Arial"/>
              </w:rPr>
              <w:t>,</w:t>
            </w:r>
            <w:r w:rsidRPr="008E3CC1">
              <w:rPr>
                <w:rFonts w:cs="Arial"/>
              </w:rPr>
              <w:t xml:space="preserve"> </w:t>
            </w:r>
            <w:r>
              <w:rPr>
                <w:rFonts w:cs="Arial"/>
              </w:rPr>
              <w:t xml:space="preserve">this </w:t>
            </w:r>
            <w:r w:rsidRPr="008E3CC1">
              <w:rPr>
                <w:rFonts w:cs="Arial"/>
              </w:rPr>
              <w:t>includ</w:t>
            </w:r>
            <w:r>
              <w:rPr>
                <w:rFonts w:cs="Arial"/>
              </w:rPr>
              <w:t>ed</w:t>
            </w:r>
            <w:r w:rsidRPr="008E3CC1">
              <w:rPr>
                <w:rFonts w:cs="Arial"/>
              </w:rPr>
              <w:t xml:space="preserve"> a referral to the community dietitian if deemed appropriate by the GP. Staff felt that an assessment of his care and support needs would be appropriate due to his ongoing nutritional needs</w:t>
            </w:r>
            <w:r>
              <w:rPr>
                <w:rFonts w:cs="Arial"/>
              </w:rPr>
              <w:t>,</w:t>
            </w:r>
            <w:r w:rsidRPr="008E3CC1">
              <w:rPr>
                <w:rFonts w:cs="Arial"/>
              </w:rPr>
              <w:t xml:space="preserve"> however this was declined by Mr M22, he was deemed to have capacity to make this decision. </w:t>
            </w:r>
          </w:p>
        </w:tc>
      </w:tr>
      <w:tr w:rsidR="0016727C" w14:paraId="1215516D" w14:textId="77777777" w:rsidTr="00425557">
        <w:tc>
          <w:tcPr>
            <w:tcW w:w="613" w:type="pct"/>
          </w:tcPr>
          <w:p w14:paraId="5BE8FE18" w14:textId="77777777" w:rsidR="0016727C" w:rsidRDefault="0016727C" w:rsidP="00FC7AD1">
            <w:pPr>
              <w:spacing w:after="120" w:line="360" w:lineRule="auto"/>
            </w:pPr>
            <w:r>
              <w:t>4.43</w:t>
            </w:r>
          </w:p>
        </w:tc>
        <w:tc>
          <w:tcPr>
            <w:tcW w:w="4387" w:type="pct"/>
          </w:tcPr>
          <w:p w14:paraId="1234E3D6" w14:textId="59004AD6" w:rsidR="0016727C" w:rsidRPr="00FC7AD1" w:rsidRDefault="0016727C" w:rsidP="00FC7AD1">
            <w:pPr>
              <w:spacing w:after="120" w:line="360" w:lineRule="auto"/>
            </w:pPr>
            <w:r w:rsidRPr="00820895">
              <w:t>During this period Mr M22 received the keys to his new property and Mr M22</w:t>
            </w:r>
            <w:r>
              <w:t>’s</w:t>
            </w:r>
            <w:r w:rsidRPr="00820895">
              <w:t xml:space="preserve"> son </w:t>
            </w:r>
            <w:proofErr w:type="gramStart"/>
            <w:r w:rsidRPr="00820895">
              <w:t>made arrangements</w:t>
            </w:r>
            <w:proofErr w:type="gramEnd"/>
            <w:r w:rsidRPr="00820895">
              <w:t xml:space="preserve"> for their belongings to be moved to the new home. </w:t>
            </w:r>
          </w:p>
        </w:tc>
      </w:tr>
      <w:tr w:rsidR="0016727C" w14:paraId="25B315D8" w14:textId="77777777" w:rsidTr="00425557">
        <w:tc>
          <w:tcPr>
            <w:tcW w:w="613" w:type="pct"/>
          </w:tcPr>
          <w:p w14:paraId="56E17D6A" w14:textId="77777777" w:rsidR="0016727C" w:rsidRDefault="0016727C" w:rsidP="00FC7AD1">
            <w:pPr>
              <w:spacing w:after="120" w:line="360" w:lineRule="auto"/>
            </w:pPr>
            <w:r>
              <w:t>4.44</w:t>
            </w:r>
          </w:p>
        </w:tc>
        <w:tc>
          <w:tcPr>
            <w:tcW w:w="4387" w:type="pct"/>
          </w:tcPr>
          <w:p w14:paraId="2F27D214" w14:textId="7B43D166" w:rsidR="0016727C" w:rsidRPr="008E3CC1" w:rsidRDefault="0016727C" w:rsidP="00FC7AD1">
            <w:pPr>
              <w:spacing w:after="120" w:line="360" w:lineRule="auto"/>
              <w:rPr>
                <w:rFonts w:cs="Arial"/>
              </w:rPr>
            </w:pPr>
            <w:r>
              <w:rPr>
                <w:rFonts w:cs="Arial"/>
              </w:rPr>
              <w:t xml:space="preserve">Prior to discharge </w:t>
            </w:r>
            <w:r w:rsidRPr="008E3CC1">
              <w:rPr>
                <w:rFonts w:cs="Arial"/>
              </w:rPr>
              <w:t>Mr M22 was reviewed by OT and physio</w:t>
            </w:r>
            <w:r>
              <w:rPr>
                <w:rFonts w:cs="Arial"/>
              </w:rPr>
              <w:t>therapist</w:t>
            </w:r>
            <w:r w:rsidRPr="008E3CC1">
              <w:rPr>
                <w:rFonts w:cs="Arial"/>
              </w:rPr>
              <w:t>. OT liaised with K</w:t>
            </w:r>
            <w:r>
              <w:rPr>
                <w:rFonts w:cs="Arial"/>
              </w:rPr>
              <w:t xml:space="preserve">ings </w:t>
            </w:r>
            <w:r w:rsidRPr="008E3CC1">
              <w:rPr>
                <w:rFonts w:cs="Arial"/>
              </w:rPr>
              <w:t>M</w:t>
            </w:r>
            <w:r>
              <w:rPr>
                <w:rFonts w:cs="Arial"/>
              </w:rPr>
              <w:t xml:space="preserve">ill </w:t>
            </w:r>
            <w:r w:rsidRPr="008E3CC1">
              <w:rPr>
                <w:rFonts w:cs="Arial"/>
              </w:rPr>
              <w:t>H</w:t>
            </w:r>
            <w:r>
              <w:rPr>
                <w:rFonts w:cs="Arial"/>
              </w:rPr>
              <w:t>ospital</w:t>
            </w:r>
            <w:r w:rsidRPr="008E3CC1">
              <w:rPr>
                <w:rFonts w:cs="Arial"/>
              </w:rPr>
              <w:t xml:space="preserve"> amputee rehab team to review his wheelchair cushion which was not essential for discharge. He was deemed medically fit for discharge on 09</w:t>
            </w:r>
            <w:r>
              <w:rPr>
                <w:rFonts w:cs="Arial"/>
              </w:rPr>
              <w:t>.</w:t>
            </w:r>
            <w:r w:rsidRPr="008E3CC1">
              <w:rPr>
                <w:rFonts w:cs="Arial"/>
              </w:rPr>
              <w:t>02</w:t>
            </w:r>
            <w:r>
              <w:rPr>
                <w:rFonts w:cs="Arial"/>
              </w:rPr>
              <w:t>.</w:t>
            </w:r>
            <w:r w:rsidRPr="008E3CC1">
              <w:rPr>
                <w:rFonts w:cs="Arial"/>
              </w:rPr>
              <w:t xml:space="preserve">22. A district nurse referral was made to </w:t>
            </w:r>
            <w:r>
              <w:rPr>
                <w:rFonts w:cs="Arial"/>
              </w:rPr>
              <w:t xml:space="preserve">provide </w:t>
            </w:r>
            <w:r w:rsidRPr="008E3CC1">
              <w:rPr>
                <w:rFonts w:cs="Arial"/>
              </w:rPr>
              <w:t xml:space="preserve">support with management of wounds to his natal cleft, </w:t>
            </w:r>
            <w:proofErr w:type="gramStart"/>
            <w:r w:rsidRPr="008E3CC1">
              <w:rPr>
                <w:rFonts w:cs="Arial"/>
              </w:rPr>
              <w:t>hips</w:t>
            </w:r>
            <w:proofErr w:type="gramEnd"/>
            <w:r w:rsidRPr="008E3CC1">
              <w:rPr>
                <w:rFonts w:cs="Arial"/>
              </w:rPr>
              <w:t xml:space="preserve"> and stump.</w:t>
            </w:r>
          </w:p>
        </w:tc>
      </w:tr>
      <w:tr w:rsidR="0016727C" w14:paraId="5E5EEC6D" w14:textId="77777777" w:rsidTr="00425557">
        <w:tc>
          <w:tcPr>
            <w:tcW w:w="613" w:type="pct"/>
          </w:tcPr>
          <w:p w14:paraId="6259CB5F" w14:textId="77777777" w:rsidR="0016727C" w:rsidRDefault="0016727C" w:rsidP="00FC7AD1">
            <w:pPr>
              <w:spacing w:after="120" w:line="360" w:lineRule="auto"/>
            </w:pPr>
            <w:r>
              <w:t>4.45</w:t>
            </w:r>
          </w:p>
        </w:tc>
        <w:tc>
          <w:tcPr>
            <w:tcW w:w="4387" w:type="pct"/>
          </w:tcPr>
          <w:p w14:paraId="71978F3C" w14:textId="700A105C" w:rsidR="0016727C" w:rsidRPr="00FC7AD1" w:rsidRDefault="0016727C" w:rsidP="00FC7AD1">
            <w:pPr>
              <w:spacing w:after="120" w:line="360" w:lineRule="auto"/>
              <w:rPr>
                <w:rFonts w:cs="Arial"/>
              </w:rPr>
            </w:pPr>
            <w:r w:rsidRPr="00ED411C">
              <w:rPr>
                <w:rFonts w:cs="Arial"/>
              </w:rPr>
              <w:t>26.01.22 Home visit by OT to the new address. The move occurred on Sunday 23</w:t>
            </w:r>
            <w:r>
              <w:rPr>
                <w:rFonts w:cs="Arial"/>
              </w:rPr>
              <w:t>.01.22</w:t>
            </w:r>
            <w:r w:rsidRPr="00ED411C">
              <w:rPr>
                <w:rFonts w:cs="Arial"/>
              </w:rPr>
              <w:t>.</w:t>
            </w:r>
          </w:p>
        </w:tc>
      </w:tr>
      <w:tr w:rsidR="0016727C" w14:paraId="71191E55" w14:textId="77777777" w:rsidTr="00425557">
        <w:tc>
          <w:tcPr>
            <w:tcW w:w="613" w:type="pct"/>
          </w:tcPr>
          <w:p w14:paraId="7AA106B5" w14:textId="77777777" w:rsidR="0016727C" w:rsidRDefault="0016727C" w:rsidP="00FC7AD1">
            <w:pPr>
              <w:spacing w:after="120" w:line="360" w:lineRule="auto"/>
            </w:pPr>
            <w:r>
              <w:t>4.46</w:t>
            </w:r>
          </w:p>
        </w:tc>
        <w:tc>
          <w:tcPr>
            <w:tcW w:w="4387" w:type="pct"/>
          </w:tcPr>
          <w:p w14:paraId="10ADA82A" w14:textId="4D2281CC" w:rsidR="0016727C" w:rsidRPr="00FC7AD1" w:rsidRDefault="0016727C" w:rsidP="00FC7AD1">
            <w:pPr>
              <w:pStyle w:val="NormalWeb"/>
              <w:spacing w:before="0" w:beforeAutospacing="0" w:after="120" w:afterAutospacing="0" w:line="360" w:lineRule="auto"/>
              <w:textAlignment w:val="baseline"/>
              <w:rPr>
                <w:rFonts w:asciiTheme="minorHAnsi" w:hAnsiTheme="minorHAnsi" w:cs="Arial"/>
                <w:bCs/>
              </w:rPr>
            </w:pPr>
            <w:r w:rsidRPr="00ED411C">
              <w:rPr>
                <w:rFonts w:asciiTheme="minorHAnsi" w:hAnsiTheme="minorHAnsi" w:cs="Arial"/>
                <w:bCs/>
              </w:rPr>
              <w:t>10.02.22 A</w:t>
            </w:r>
            <w:r>
              <w:rPr>
                <w:rFonts w:asciiTheme="minorHAnsi" w:hAnsiTheme="minorHAnsi" w:cs="Arial"/>
                <w:bCs/>
              </w:rPr>
              <w:t xml:space="preserve">dult </w:t>
            </w:r>
            <w:r w:rsidRPr="00ED411C">
              <w:rPr>
                <w:rFonts w:asciiTheme="minorHAnsi" w:hAnsiTheme="minorHAnsi" w:cs="Arial"/>
                <w:bCs/>
              </w:rPr>
              <w:t>I</w:t>
            </w:r>
            <w:r>
              <w:rPr>
                <w:rFonts w:asciiTheme="minorHAnsi" w:hAnsiTheme="minorHAnsi" w:cs="Arial"/>
                <w:bCs/>
              </w:rPr>
              <w:t xml:space="preserve">ntegrated </w:t>
            </w:r>
            <w:r w:rsidRPr="00ED411C">
              <w:rPr>
                <w:rFonts w:asciiTheme="minorHAnsi" w:hAnsiTheme="minorHAnsi" w:cs="Arial"/>
                <w:bCs/>
              </w:rPr>
              <w:t>C</w:t>
            </w:r>
            <w:r>
              <w:rPr>
                <w:rFonts w:asciiTheme="minorHAnsi" w:hAnsiTheme="minorHAnsi" w:cs="Arial"/>
                <w:bCs/>
              </w:rPr>
              <w:t>are</w:t>
            </w:r>
            <w:r w:rsidRPr="00ED411C">
              <w:rPr>
                <w:rFonts w:asciiTheme="minorHAnsi" w:hAnsiTheme="minorHAnsi" w:cs="Arial"/>
                <w:bCs/>
              </w:rPr>
              <w:t>: referral accepted for District Nurse services.</w:t>
            </w:r>
          </w:p>
        </w:tc>
      </w:tr>
      <w:tr w:rsidR="0016727C" w14:paraId="732ABD40" w14:textId="77777777" w:rsidTr="00425557">
        <w:tc>
          <w:tcPr>
            <w:tcW w:w="613" w:type="pct"/>
          </w:tcPr>
          <w:p w14:paraId="6BADA33B" w14:textId="77777777" w:rsidR="0016727C" w:rsidRDefault="0016727C" w:rsidP="00FC7AD1">
            <w:pPr>
              <w:spacing w:after="120" w:line="360" w:lineRule="auto"/>
            </w:pPr>
            <w:r>
              <w:t>4.47</w:t>
            </w:r>
          </w:p>
        </w:tc>
        <w:tc>
          <w:tcPr>
            <w:tcW w:w="4387" w:type="pct"/>
          </w:tcPr>
          <w:p w14:paraId="04CACD18" w14:textId="3FDA49FF" w:rsidR="0016727C" w:rsidRPr="00FC7AD1" w:rsidRDefault="0016727C" w:rsidP="00FC7AD1">
            <w:pPr>
              <w:pStyle w:val="NormalWeb"/>
              <w:spacing w:before="0" w:beforeAutospacing="0" w:after="120" w:afterAutospacing="0" w:line="360" w:lineRule="auto"/>
              <w:textAlignment w:val="baseline"/>
              <w:rPr>
                <w:rFonts w:asciiTheme="minorHAnsi" w:hAnsiTheme="minorHAnsi" w:cs="Arial"/>
                <w:bCs/>
              </w:rPr>
            </w:pPr>
            <w:r w:rsidRPr="00ED411C">
              <w:rPr>
                <w:rFonts w:asciiTheme="minorHAnsi" w:hAnsiTheme="minorHAnsi" w:cs="Arial"/>
                <w:bCs/>
              </w:rPr>
              <w:t>11.02.22 A</w:t>
            </w:r>
            <w:r>
              <w:rPr>
                <w:rFonts w:asciiTheme="minorHAnsi" w:hAnsiTheme="minorHAnsi" w:cs="Arial"/>
                <w:bCs/>
              </w:rPr>
              <w:t xml:space="preserve">dult </w:t>
            </w:r>
            <w:r w:rsidRPr="00ED411C">
              <w:rPr>
                <w:rFonts w:asciiTheme="minorHAnsi" w:hAnsiTheme="minorHAnsi" w:cs="Arial"/>
                <w:bCs/>
              </w:rPr>
              <w:t>I</w:t>
            </w:r>
            <w:r>
              <w:rPr>
                <w:rFonts w:asciiTheme="minorHAnsi" w:hAnsiTheme="minorHAnsi" w:cs="Arial"/>
                <w:bCs/>
              </w:rPr>
              <w:t xml:space="preserve">ntegrated </w:t>
            </w:r>
            <w:r w:rsidRPr="00ED411C">
              <w:rPr>
                <w:rFonts w:asciiTheme="minorHAnsi" w:hAnsiTheme="minorHAnsi" w:cs="Arial"/>
                <w:bCs/>
              </w:rPr>
              <w:t>C</w:t>
            </w:r>
            <w:r>
              <w:rPr>
                <w:rFonts w:asciiTheme="minorHAnsi" w:hAnsiTheme="minorHAnsi" w:cs="Arial"/>
                <w:bCs/>
              </w:rPr>
              <w:t>are</w:t>
            </w:r>
            <w:r w:rsidRPr="00ED411C">
              <w:rPr>
                <w:rFonts w:asciiTheme="minorHAnsi" w:hAnsiTheme="minorHAnsi" w:cs="Arial"/>
                <w:bCs/>
              </w:rPr>
              <w:t>: referral sent to amputee team, home visit undertaken, Body maps completed, wounds measured, environmental risk assessment undertaken, fire risk assessment completed, fire service referral completed, SSKIN bundles completed, BESTSHOT performed, Holistic assessment completed, Braden assessment complete, MUST completed, Images taken and uploaded of wounds, dressings undertaken.</w:t>
            </w:r>
          </w:p>
        </w:tc>
      </w:tr>
      <w:tr w:rsidR="0016727C" w14:paraId="0C3D3D68" w14:textId="77777777" w:rsidTr="00425557">
        <w:tc>
          <w:tcPr>
            <w:tcW w:w="613" w:type="pct"/>
          </w:tcPr>
          <w:p w14:paraId="49AB2E8B" w14:textId="77777777" w:rsidR="0016727C" w:rsidRDefault="0016727C" w:rsidP="00FC7AD1">
            <w:pPr>
              <w:spacing w:after="120" w:line="360" w:lineRule="auto"/>
            </w:pPr>
            <w:r>
              <w:t>4.48</w:t>
            </w:r>
          </w:p>
        </w:tc>
        <w:tc>
          <w:tcPr>
            <w:tcW w:w="4387" w:type="pct"/>
          </w:tcPr>
          <w:p w14:paraId="02AEF016" w14:textId="3455A224" w:rsidR="0016727C" w:rsidRPr="00FC7AD1" w:rsidRDefault="0016727C" w:rsidP="00FC7AD1">
            <w:pPr>
              <w:pStyle w:val="NormalWeb"/>
              <w:spacing w:before="0" w:beforeAutospacing="0" w:after="120" w:afterAutospacing="0" w:line="360" w:lineRule="auto"/>
              <w:textAlignment w:val="baseline"/>
              <w:rPr>
                <w:rFonts w:asciiTheme="minorHAnsi" w:hAnsiTheme="minorHAnsi" w:cs="Arial"/>
                <w:bCs/>
              </w:rPr>
            </w:pPr>
            <w:r w:rsidRPr="00ED411C">
              <w:rPr>
                <w:rFonts w:asciiTheme="minorHAnsi" w:hAnsiTheme="minorHAnsi" w:cs="Arial"/>
                <w:bCs/>
              </w:rPr>
              <w:t>11.02.22 U</w:t>
            </w:r>
            <w:r>
              <w:rPr>
                <w:rFonts w:asciiTheme="minorHAnsi" w:hAnsiTheme="minorHAnsi" w:cs="Arial"/>
                <w:bCs/>
              </w:rPr>
              <w:t xml:space="preserve">rgent Response and </w:t>
            </w:r>
            <w:r w:rsidRPr="00ED411C">
              <w:rPr>
                <w:rFonts w:asciiTheme="minorHAnsi" w:hAnsiTheme="minorHAnsi" w:cs="Arial"/>
                <w:bCs/>
              </w:rPr>
              <w:t>T</w:t>
            </w:r>
            <w:r>
              <w:rPr>
                <w:rFonts w:asciiTheme="minorHAnsi" w:hAnsiTheme="minorHAnsi" w:cs="Arial"/>
                <w:bCs/>
              </w:rPr>
              <w:t>herapy (URT)</w:t>
            </w:r>
            <w:r w:rsidRPr="00ED411C">
              <w:rPr>
                <w:rFonts w:asciiTheme="minorHAnsi" w:hAnsiTheme="minorHAnsi" w:cs="Arial"/>
                <w:bCs/>
              </w:rPr>
              <w:t xml:space="preserve">: Home visit attended in relation to completing a transfer assessment, observed transfer from bed to </w:t>
            </w:r>
            <w:r w:rsidRPr="00ED411C">
              <w:rPr>
                <w:rFonts w:asciiTheme="minorHAnsi" w:hAnsiTheme="minorHAnsi" w:cs="Arial"/>
                <w:bCs/>
              </w:rPr>
              <w:lastRenderedPageBreak/>
              <w:t xml:space="preserve">wheelchair, difficulty raised in relation to toilet transfer, advised commode. </w:t>
            </w:r>
            <w:r>
              <w:rPr>
                <w:rFonts w:asciiTheme="minorHAnsi" w:hAnsiTheme="minorHAnsi" w:cs="Arial"/>
                <w:bCs/>
              </w:rPr>
              <w:t>R</w:t>
            </w:r>
            <w:r w:rsidRPr="00ED411C">
              <w:rPr>
                <w:rFonts w:asciiTheme="minorHAnsi" w:hAnsiTheme="minorHAnsi" w:cs="Arial"/>
                <w:bCs/>
              </w:rPr>
              <w:t>eported to have been smoking cannabis prior to visit.</w:t>
            </w:r>
          </w:p>
        </w:tc>
      </w:tr>
      <w:tr w:rsidR="0016727C" w14:paraId="28E65D85" w14:textId="77777777" w:rsidTr="00425557">
        <w:tc>
          <w:tcPr>
            <w:tcW w:w="613" w:type="pct"/>
          </w:tcPr>
          <w:p w14:paraId="24698837" w14:textId="77777777" w:rsidR="0016727C" w:rsidRDefault="0016727C" w:rsidP="00FC7AD1">
            <w:pPr>
              <w:spacing w:after="120" w:line="360" w:lineRule="auto"/>
            </w:pPr>
            <w:r>
              <w:lastRenderedPageBreak/>
              <w:t xml:space="preserve">4.49 </w:t>
            </w:r>
          </w:p>
        </w:tc>
        <w:tc>
          <w:tcPr>
            <w:tcW w:w="4387" w:type="pct"/>
          </w:tcPr>
          <w:p w14:paraId="09414AFC" w14:textId="543A0523" w:rsidR="0016727C" w:rsidRPr="00FC7AD1" w:rsidRDefault="0016727C" w:rsidP="00FC7AD1">
            <w:pPr>
              <w:spacing w:after="120" w:line="360" w:lineRule="auto"/>
            </w:pPr>
            <w:r w:rsidRPr="002B2074">
              <w:t>On 11</w:t>
            </w:r>
            <w:r>
              <w:t>.02.</w:t>
            </w:r>
            <w:r w:rsidRPr="002B2074">
              <w:t>22 Mr M22 attended the dietician to improve nutritional intake to promote wound healing.</w:t>
            </w:r>
          </w:p>
        </w:tc>
      </w:tr>
      <w:tr w:rsidR="0016727C" w14:paraId="73A6E0BC" w14:textId="77777777" w:rsidTr="00425557">
        <w:tc>
          <w:tcPr>
            <w:tcW w:w="613" w:type="pct"/>
          </w:tcPr>
          <w:p w14:paraId="289E8518" w14:textId="77777777" w:rsidR="0016727C" w:rsidRDefault="0016727C" w:rsidP="00FC7AD1">
            <w:pPr>
              <w:spacing w:after="120" w:line="360" w:lineRule="auto"/>
            </w:pPr>
            <w:r>
              <w:t>4.50</w:t>
            </w:r>
          </w:p>
        </w:tc>
        <w:tc>
          <w:tcPr>
            <w:tcW w:w="4387" w:type="pct"/>
          </w:tcPr>
          <w:p w14:paraId="060E74E3" w14:textId="05C59AAA" w:rsidR="0016727C" w:rsidRPr="00FC7AD1" w:rsidRDefault="0016727C" w:rsidP="00FC7AD1">
            <w:pPr>
              <w:spacing w:after="120" w:line="360" w:lineRule="auto"/>
              <w:rPr>
                <w:rFonts w:cs="Arial"/>
              </w:rPr>
            </w:pPr>
            <w:r w:rsidRPr="00ED411C">
              <w:rPr>
                <w:rFonts w:cs="Arial"/>
              </w:rPr>
              <w:t xml:space="preserve">15.02.22 </w:t>
            </w:r>
            <w:r w:rsidRPr="00ED411C">
              <w:rPr>
                <w:rFonts w:cs="Arial"/>
                <w:bCs/>
              </w:rPr>
              <w:t>A</w:t>
            </w:r>
            <w:r>
              <w:rPr>
                <w:rFonts w:cs="Arial"/>
                <w:bCs/>
              </w:rPr>
              <w:t xml:space="preserve">dult </w:t>
            </w:r>
            <w:r w:rsidRPr="00ED411C">
              <w:rPr>
                <w:rFonts w:cs="Arial"/>
                <w:bCs/>
              </w:rPr>
              <w:t>I</w:t>
            </w:r>
            <w:r>
              <w:rPr>
                <w:rFonts w:cs="Arial"/>
                <w:bCs/>
              </w:rPr>
              <w:t xml:space="preserve">ntegrated </w:t>
            </w:r>
            <w:r w:rsidRPr="00ED411C">
              <w:rPr>
                <w:rFonts w:cs="Arial"/>
                <w:bCs/>
              </w:rPr>
              <w:t>C</w:t>
            </w:r>
            <w:r>
              <w:rPr>
                <w:rFonts w:cs="Arial"/>
                <w:bCs/>
              </w:rPr>
              <w:t>are (AIC) h</w:t>
            </w:r>
            <w:r w:rsidRPr="00ED411C">
              <w:rPr>
                <w:rFonts w:cs="Arial"/>
              </w:rPr>
              <w:t xml:space="preserve">ome visit attended. Mr M22 reported not to be happy with previous nurse as </w:t>
            </w:r>
            <w:r>
              <w:rPr>
                <w:rFonts w:cs="Arial"/>
              </w:rPr>
              <w:t xml:space="preserve">they were </w:t>
            </w:r>
            <w:r w:rsidRPr="00ED411C">
              <w:rPr>
                <w:rFonts w:cs="Arial"/>
              </w:rPr>
              <w:t>too rough and left a wound exposed</w:t>
            </w:r>
            <w:r>
              <w:rPr>
                <w:rFonts w:cs="Arial"/>
              </w:rPr>
              <w:t xml:space="preserve">. He was </w:t>
            </w:r>
            <w:r w:rsidRPr="00ED411C">
              <w:rPr>
                <w:rFonts w:cs="Arial"/>
              </w:rPr>
              <w:t>experienc</w:t>
            </w:r>
            <w:r>
              <w:rPr>
                <w:rFonts w:cs="Arial"/>
              </w:rPr>
              <w:t>ing</w:t>
            </w:r>
            <w:r w:rsidRPr="00ED411C">
              <w:rPr>
                <w:rFonts w:cs="Arial"/>
              </w:rPr>
              <w:t xml:space="preserve"> some pain but not as much as other times. Wound care completed.</w:t>
            </w:r>
          </w:p>
        </w:tc>
      </w:tr>
      <w:tr w:rsidR="0016727C" w14:paraId="416E80D9" w14:textId="77777777" w:rsidTr="00425557">
        <w:tc>
          <w:tcPr>
            <w:tcW w:w="613" w:type="pct"/>
          </w:tcPr>
          <w:p w14:paraId="640875F2" w14:textId="77777777" w:rsidR="0016727C" w:rsidRDefault="0016727C" w:rsidP="00FC7AD1">
            <w:pPr>
              <w:spacing w:after="120" w:line="360" w:lineRule="auto"/>
            </w:pPr>
            <w:r>
              <w:t>4.51</w:t>
            </w:r>
          </w:p>
        </w:tc>
        <w:tc>
          <w:tcPr>
            <w:tcW w:w="4387" w:type="pct"/>
          </w:tcPr>
          <w:p w14:paraId="5B009C06" w14:textId="08CB1A24" w:rsidR="0016727C" w:rsidRPr="004C5CBA" w:rsidRDefault="0016727C" w:rsidP="00FC7AD1">
            <w:pPr>
              <w:spacing w:after="120" w:line="360" w:lineRule="auto"/>
              <w:rPr>
                <w:rFonts w:cs="Arial"/>
              </w:rPr>
            </w:pPr>
            <w:r w:rsidRPr="004C5CBA">
              <w:rPr>
                <w:rFonts w:cs="Arial"/>
              </w:rPr>
              <w:t>On 16</w:t>
            </w:r>
            <w:r>
              <w:rPr>
                <w:rFonts w:cs="Arial"/>
              </w:rPr>
              <w:t>.02.22</w:t>
            </w:r>
            <w:r w:rsidRPr="004C5CBA">
              <w:rPr>
                <w:rFonts w:cs="Arial"/>
              </w:rPr>
              <w:t xml:space="preserve"> Mr M22 was reviewed by the Occupational Therapy Amputee Team at home. </w:t>
            </w:r>
          </w:p>
        </w:tc>
      </w:tr>
      <w:tr w:rsidR="0016727C" w14:paraId="26BA625D" w14:textId="77777777" w:rsidTr="00425557">
        <w:tc>
          <w:tcPr>
            <w:tcW w:w="613" w:type="pct"/>
          </w:tcPr>
          <w:p w14:paraId="4751E989" w14:textId="77777777" w:rsidR="0016727C" w:rsidRDefault="0016727C" w:rsidP="00FC7AD1">
            <w:pPr>
              <w:spacing w:after="120" w:line="360" w:lineRule="auto"/>
            </w:pPr>
            <w:r>
              <w:t>4.52</w:t>
            </w:r>
          </w:p>
        </w:tc>
        <w:tc>
          <w:tcPr>
            <w:tcW w:w="4387" w:type="pct"/>
          </w:tcPr>
          <w:p w14:paraId="3AB75811" w14:textId="72B69B43" w:rsidR="0016727C" w:rsidRPr="00FC7AD1" w:rsidRDefault="0016727C" w:rsidP="00FC7AD1">
            <w:pPr>
              <w:spacing w:after="120" w:line="360" w:lineRule="auto"/>
              <w:rPr>
                <w:rFonts w:cs="Arial"/>
                <w:bCs/>
              </w:rPr>
            </w:pPr>
            <w:r w:rsidRPr="009039F0">
              <w:rPr>
                <w:rFonts w:cs="Arial"/>
                <w:bCs/>
              </w:rPr>
              <w:t>17.02.22 T</w:t>
            </w:r>
            <w:r>
              <w:rPr>
                <w:rFonts w:cs="Arial"/>
                <w:bCs/>
              </w:rPr>
              <w:t xml:space="preserve">issue </w:t>
            </w:r>
            <w:r w:rsidRPr="009039F0">
              <w:rPr>
                <w:rFonts w:cs="Arial"/>
                <w:bCs/>
              </w:rPr>
              <w:t>V</w:t>
            </w:r>
            <w:r>
              <w:rPr>
                <w:rFonts w:cs="Arial"/>
                <w:bCs/>
              </w:rPr>
              <w:t xml:space="preserve">iability </w:t>
            </w:r>
            <w:r w:rsidRPr="009039F0">
              <w:rPr>
                <w:rFonts w:cs="Arial"/>
                <w:bCs/>
              </w:rPr>
              <w:t>S</w:t>
            </w:r>
            <w:r>
              <w:rPr>
                <w:rFonts w:cs="Arial"/>
                <w:bCs/>
              </w:rPr>
              <w:t xml:space="preserve">ervice contacted with </w:t>
            </w:r>
            <w:r w:rsidRPr="002919DF">
              <w:rPr>
                <w:rFonts w:cs="Arial"/>
                <w:bCs/>
              </w:rPr>
              <w:t>concern</w:t>
            </w:r>
            <w:r>
              <w:rPr>
                <w:rFonts w:cs="Arial"/>
                <w:bCs/>
              </w:rPr>
              <w:t>s</w:t>
            </w:r>
            <w:r w:rsidRPr="002919DF">
              <w:rPr>
                <w:rFonts w:cs="Arial"/>
                <w:bCs/>
              </w:rPr>
              <w:t xml:space="preserve"> raised in relation to </w:t>
            </w:r>
            <w:r>
              <w:rPr>
                <w:rFonts w:cs="Arial"/>
                <w:bCs/>
              </w:rPr>
              <w:t>Mr M22 being</w:t>
            </w:r>
            <w:r w:rsidRPr="002919DF">
              <w:rPr>
                <w:rFonts w:cs="Arial"/>
                <w:bCs/>
              </w:rPr>
              <w:t xml:space="preserve"> discharged with no long-term plan in place</w:t>
            </w:r>
            <w:r>
              <w:rPr>
                <w:rFonts w:cs="Arial"/>
                <w:bCs/>
              </w:rPr>
              <w:t>. There were also</w:t>
            </w:r>
            <w:r w:rsidRPr="009039F0">
              <w:rPr>
                <w:rFonts w:cs="Arial"/>
                <w:bCs/>
              </w:rPr>
              <w:t xml:space="preserve"> concerns about </w:t>
            </w:r>
            <w:r>
              <w:rPr>
                <w:rFonts w:cs="Arial"/>
                <w:bCs/>
              </w:rPr>
              <w:t xml:space="preserve">his </w:t>
            </w:r>
            <w:r w:rsidRPr="009039F0">
              <w:rPr>
                <w:rFonts w:cs="Arial"/>
                <w:bCs/>
              </w:rPr>
              <w:t>only carer being his son</w:t>
            </w:r>
            <w:r>
              <w:rPr>
                <w:rFonts w:cs="Arial"/>
                <w:bCs/>
              </w:rPr>
              <w:t>,</w:t>
            </w:r>
            <w:r w:rsidRPr="009039F0">
              <w:rPr>
                <w:rFonts w:cs="Arial"/>
                <w:bCs/>
              </w:rPr>
              <w:t xml:space="preserve"> who has learning difficulties and </w:t>
            </w:r>
            <w:r>
              <w:rPr>
                <w:rFonts w:cs="Arial"/>
                <w:bCs/>
              </w:rPr>
              <w:t xml:space="preserve">is </w:t>
            </w:r>
            <w:r w:rsidRPr="009039F0">
              <w:rPr>
                <w:rFonts w:cs="Arial"/>
                <w:bCs/>
              </w:rPr>
              <w:t>worried that the burden is too great for him</w:t>
            </w:r>
            <w:r>
              <w:rPr>
                <w:rFonts w:cs="Arial"/>
                <w:bCs/>
              </w:rPr>
              <w:t>,</w:t>
            </w:r>
            <w:r w:rsidRPr="009039F0">
              <w:rPr>
                <w:rFonts w:cs="Arial"/>
                <w:bCs/>
              </w:rPr>
              <w:t xml:space="preserve"> and </w:t>
            </w:r>
            <w:r>
              <w:rPr>
                <w:rFonts w:cs="Arial"/>
                <w:bCs/>
              </w:rPr>
              <w:t xml:space="preserve">who may not recognise </w:t>
            </w:r>
            <w:r w:rsidRPr="009039F0">
              <w:rPr>
                <w:rFonts w:cs="Arial"/>
                <w:bCs/>
              </w:rPr>
              <w:t xml:space="preserve">a need for escalation in time. Concerned re-admission may be required and highlighted </w:t>
            </w:r>
            <w:r>
              <w:rPr>
                <w:rFonts w:cs="Arial"/>
                <w:bCs/>
              </w:rPr>
              <w:t xml:space="preserve">the </w:t>
            </w:r>
            <w:r w:rsidRPr="009039F0">
              <w:rPr>
                <w:rFonts w:cs="Arial"/>
                <w:bCs/>
              </w:rPr>
              <w:t>risk of sepsis.</w:t>
            </w:r>
          </w:p>
        </w:tc>
      </w:tr>
      <w:tr w:rsidR="0016727C" w14:paraId="5D3F775D" w14:textId="77777777" w:rsidTr="00425557">
        <w:tc>
          <w:tcPr>
            <w:tcW w:w="613" w:type="pct"/>
          </w:tcPr>
          <w:p w14:paraId="575C499F" w14:textId="77777777" w:rsidR="0016727C" w:rsidRDefault="0016727C" w:rsidP="00FC7AD1">
            <w:pPr>
              <w:spacing w:after="120" w:line="360" w:lineRule="auto"/>
            </w:pPr>
            <w:r>
              <w:t>4.53</w:t>
            </w:r>
          </w:p>
        </w:tc>
        <w:tc>
          <w:tcPr>
            <w:tcW w:w="4387" w:type="pct"/>
          </w:tcPr>
          <w:p w14:paraId="1DDA5D71" w14:textId="626F3E6B" w:rsidR="0016727C" w:rsidRPr="00FC7AD1" w:rsidRDefault="0016727C" w:rsidP="00FC7AD1">
            <w:pPr>
              <w:spacing w:after="120" w:line="360" w:lineRule="auto"/>
              <w:rPr>
                <w:rFonts w:cs="Arial"/>
              </w:rPr>
            </w:pPr>
            <w:r w:rsidRPr="008E1642">
              <w:rPr>
                <w:rFonts w:cs="Arial"/>
              </w:rPr>
              <w:t>17.02.22 TVS: Specialist T</w:t>
            </w:r>
            <w:r>
              <w:rPr>
                <w:rFonts w:cs="Arial"/>
              </w:rPr>
              <w:t xml:space="preserve">issue </w:t>
            </w:r>
            <w:r w:rsidRPr="008E1642">
              <w:rPr>
                <w:rFonts w:cs="Arial"/>
              </w:rPr>
              <w:t>V</w:t>
            </w:r>
            <w:r>
              <w:rPr>
                <w:rFonts w:cs="Arial"/>
              </w:rPr>
              <w:t xml:space="preserve">iability </w:t>
            </w:r>
            <w:r w:rsidRPr="008E1642">
              <w:rPr>
                <w:rFonts w:cs="Arial"/>
              </w:rPr>
              <w:t>N</w:t>
            </w:r>
            <w:r>
              <w:rPr>
                <w:rFonts w:cs="Arial"/>
              </w:rPr>
              <w:t>urse</w:t>
            </w:r>
            <w:r w:rsidRPr="008E1642">
              <w:rPr>
                <w:rFonts w:cs="Arial"/>
              </w:rPr>
              <w:t xml:space="preserve"> assessment completed, joint visit with AIC</w:t>
            </w:r>
            <w:r>
              <w:rPr>
                <w:rFonts w:cs="Arial"/>
              </w:rPr>
              <w:t xml:space="preserve">. </w:t>
            </w:r>
            <w:r w:rsidRPr="008E1642">
              <w:rPr>
                <w:rFonts w:cs="Arial"/>
              </w:rPr>
              <w:t>Mr M22 appeared very unwell; physical observations completed.</w:t>
            </w:r>
            <w:r>
              <w:rPr>
                <w:rFonts w:cs="Arial"/>
              </w:rPr>
              <w:t xml:space="preserve"> </w:t>
            </w:r>
            <w:r w:rsidRPr="008E1642">
              <w:rPr>
                <w:rFonts w:cs="Arial"/>
              </w:rPr>
              <w:t xml:space="preserve">Concern </w:t>
            </w:r>
            <w:proofErr w:type="gramStart"/>
            <w:r>
              <w:rPr>
                <w:rFonts w:cs="Arial"/>
              </w:rPr>
              <w:t>were</w:t>
            </w:r>
            <w:proofErr w:type="gramEnd"/>
            <w:r>
              <w:rPr>
                <w:rFonts w:cs="Arial"/>
              </w:rPr>
              <w:t xml:space="preserve"> </w:t>
            </w:r>
            <w:r w:rsidRPr="008E1642">
              <w:rPr>
                <w:rFonts w:cs="Arial"/>
              </w:rPr>
              <w:t xml:space="preserve">raised in relation to infection and </w:t>
            </w:r>
            <w:r>
              <w:rPr>
                <w:rFonts w:cs="Arial"/>
              </w:rPr>
              <w:t xml:space="preserve">Mr M22 was </w:t>
            </w:r>
            <w:r w:rsidRPr="008E1642">
              <w:rPr>
                <w:rFonts w:cs="Arial"/>
              </w:rPr>
              <w:t xml:space="preserve">advised he required admission to hospital. Mr M22 refused admission expressing that he felt let down by the hospital and that he should </w:t>
            </w:r>
            <w:r>
              <w:rPr>
                <w:rFonts w:cs="Arial"/>
              </w:rPr>
              <w:t>not have</w:t>
            </w:r>
            <w:r w:rsidRPr="008E1642">
              <w:rPr>
                <w:rFonts w:cs="Arial"/>
              </w:rPr>
              <w:t xml:space="preserve"> been discharged previously. </w:t>
            </w:r>
            <w:r>
              <w:rPr>
                <w:rFonts w:cs="Arial"/>
              </w:rPr>
              <w:t xml:space="preserve">The </w:t>
            </w:r>
            <w:r w:rsidRPr="008E1642">
              <w:rPr>
                <w:rFonts w:cs="Arial"/>
              </w:rPr>
              <w:t xml:space="preserve">GP </w:t>
            </w:r>
            <w:r>
              <w:rPr>
                <w:rFonts w:cs="Arial"/>
              </w:rPr>
              <w:t xml:space="preserve">was </w:t>
            </w:r>
            <w:r w:rsidRPr="008E1642">
              <w:rPr>
                <w:rFonts w:cs="Arial"/>
              </w:rPr>
              <w:t xml:space="preserve">contact who advised admission. </w:t>
            </w:r>
            <w:r>
              <w:rPr>
                <w:rFonts w:cs="Arial"/>
              </w:rPr>
              <w:t>A m</w:t>
            </w:r>
            <w:r w:rsidRPr="008E1642">
              <w:rPr>
                <w:rFonts w:cs="Arial"/>
              </w:rPr>
              <w:t xml:space="preserve">ental capacity assessment </w:t>
            </w:r>
            <w:r>
              <w:rPr>
                <w:rFonts w:cs="Arial"/>
              </w:rPr>
              <w:t xml:space="preserve">was </w:t>
            </w:r>
            <w:r w:rsidRPr="008E1642">
              <w:rPr>
                <w:rFonts w:cs="Arial"/>
              </w:rPr>
              <w:t xml:space="preserve">completed and Mr M22 </w:t>
            </w:r>
            <w:r>
              <w:rPr>
                <w:rFonts w:cs="Arial"/>
              </w:rPr>
              <w:t xml:space="preserve">was </w:t>
            </w:r>
            <w:r w:rsidRPr="008E1642">
              <w:rPr>
                <w:rFonts w:cs="Arial"/>
              </w:rPr>
              <w:t xml:space="preserve">deemed to have capacity to decide whether he attended hospital or not. Mr M22 was made aware he could die from his wounds. Mr M22s son </w:t>
            </w:r>
            <w:r>
              <w:rPr>
                <w:rFonts w:cs="Arial"/>
              </w:rPr>
              <w:t xml:space="preserve">was </w:t>
            </w:r>
            <w:r w:rsidRPr="008E1642">
              <w:rPr>
                <w:rFonts w:cs="Arial"/>
              </w:rPr>
              <w:t xml:space="preserve">encouraged to discuss this with his father and to monitor Mr M22 for worsening symptoms and to call 999 should he deteriorate. </w:t>
            </w:r>
            <w:r>
              <w:rPr>
                <w:rFonts w:cs="Arial"/>
              </w:rPr>
              <w:t>His w</w:t>
            </w:r>
            <w:r w:rsidRPr="008E1642">
              <w:rPr>
                <w:rFonts w:cs="Arial"/>
              </w:rPr>
              <w:t xml:space="preserve">ounds </w:t>
            </w:r>
            <w:r>
              <w:rPr>
                <w:rFonts w:cs="Arial"/>
              </w:rPr>
              <w:t xml:space="preserve">were </w:t>
            </w:r>
            <w:r w:rsidRPr="008E1642">
              <w:rPr>
                <w:rFonts w:cs="Arial"/>
              </w:rPr>
              <w:t xml:space="preserve">assessed and dressed, equipment </w:t>
            </w:r>
            <w:r>
              <w:rPr>
                <w:rFonts w:cs="Arial"/>
              </w:rPr>
              <w:t xml:space="preserve">was </w:t>
            </w:r>
            <w:r w:rsidRPr="008E1642">
              <w:rPr>
                <w:rFonts w:cs="Arial"/>
              </w:rPr>
              <w:t>ordered from the Red Cross, Braden Scale completed, alternate day visits recommended at minimum.</w:t>
            </w:r>
          </w:p>
        </w:tc>
      </w:tr>
      <w:tr w:rsidR="0016727C" w14:paraId="39035537" w14:textId="77777777" w:rsidTr="00425557">
        <w:tc>
          <w:tcPr>
            <w:tcW w:w="613" w:type="pct"/>
          </w:tcPr>
          <w:p w14:paraId="66D31747" w14:textId="77777777" w:rsidR="0016727C" w:rsidRDefault="0016727C" w:rsidP="00FC7AD1">
            <w:pPr>
              <w:spacing w:after="120" w:line="360" w:lineRule="auto"/>
            </w:pPr>
            <w:r>
              <w:lastRenderedPageBreak/>
              <w:t>4.54</w:t>
            </w:r>
          </w:p>
        </w:tc>
        <w:tc>
          <w:tcPr>
            <w:tcW w:w="4387" w:type="pct"/>
          </w:tcPr>
          <w:p w14:paraId="31CA4D46" w14:textId="60BA6A0F" w:rsidR="0016727C" w:rsidRPr="00FC7AD1" w:rsidRDefault="0016727C" w:rsidP="00FC7AD1">
            <w:pPr>
              <w:spacing w:after="120" w:line="360" w:lineRule="auto"/>
              <w:rPr>
                <w:rFonts w:cs="Arial"/>
              </w:rPr>
            </w:pPr>
            <w:r w:rsidRPr="00F5238C">
              <w:rPr>
                <w:rFonts w:cs="Arial"/>
              </w:rPr>
              <w:t xml:space="preserve">17.02.22 GP - Tissue viability nurse contacted GP worried about clinical presentation. </w:t>
            </w:r>
            <w:r>
              <w:rPr>
                <w:rFonts w:cs="Arial"/>
              </w:rPr>
              <w:t xml:space="preserve">The </w:t>
            </w:r>
            <w:r w:rsidRPr="00F5238C">
              <w:rPr>
                <w:rFonts w:cs="Arial"/>
              </w:rPr>
              <w:t xml:space="preserve">GP and tissue viability nurse agreed </w:t>
            </w:r>
            <w:r>
              <w:rPr>
                <w:rFonts w:cs="Arial"/>
              </w:rPr>
              <w:t xml:space="preserve">that </w:t>
            </w:r>
            <w:r w:rsidRPr="00F5238C">
              <w:rPr>
                <w:rFonts w:cs="Arial"/>
              </w:rPr>
              <w:t xml:space="preserve">Mr M22 needed admission. </w:t>
            </w:r>
            <w:r>
              <w:rPr>
                <w:rFonts w:cs="Arial"/>
              </w:rPr>
              <w:t xml:space="preserve">The </w:t>
            </w:r>
            <w:r w:rsidRPr="00F5238C">
              <w:rPr>
                <w:rFonts w:cs="Arial"/>
              </w:rPr>
              <w:t xml:space="preserve">GP spoke via phone </w:t>
            </w:r>
            <w:r>
              <w:rPr>
                <w:rFonts w:cs="Arial"/>
              </w:rPr>
              <w:t>with Mr M22 and tried</w:t>
            </w:r>
            <w:r w:rsidRPr="00F5238C">
              <w:rPr>
                <w:rFonts w:cs="Arial"/>
              </w:rPr>
              <w:t xml:space="preserve"> to encourage him to go in</w:t>
            </w:r>
            <w:r>
              <w:rPr>
                <w:rFonts w:cs="Arial"/>
              </w:rPr>
              <w:t xml:space="preserve">to hospital, however </w:t>
            </w:r>
            <w:r w:rsidRPr="00F5238C">
              <w:rPr>
                <w:rFonts w:cs="Arial"/>
              </w:rPr>
              <w:t>Mr M22</w:t>
            </w:r>
            <w:r>
              <w:rPr>
                <w:rFonts w:cs="Arial"/>
              </w:rPr>
              <w:t xml:space="preserve"> was </w:t>
            </w:r>
            <w:r w:rsidRPr="00F5238C">
              <w:rPr>
                <w:rFonts w:cs="Arial"/>
              </w:rPr>
              <w:t xml:space="preserve">distressed and refusing </w:t>
            </w:r>
            <w:r>
              <w:rPr>
                <w:rFonts w:cs="Arial"/>
              </w:rPr>
              <w:t xml:space="preserve">the request. The </w:t>
            </w:r>
            <w:r w:rsidRPr="00F5238C">
              <w:rPr>
                <w:rFonts w:cs="Arial"/>
              </w:rPr>
              <w:t>GP agreed to call back later</w:t>
            </w:r>
            <w:r>
              <w:rPr>
                <w:rFonts w:cs="Arial"/>
              </w:rPr>
              <w:t xml:space="preserve"> and spoke with Mr M22’s son at </w:t>
            </w:r>
            <w:r w:rsidRPr="00F5238C">
              <w:rPr>
                <w:rFonts w:cs="Arial"/>
              </w:rPr>
              <w:t>17:55</w:t>
            </w:r>
            <w:r>
              <w:rPr>
                <w:rFonts w:cs="Arial"/>
              </w:rPr>
              <w:t xml:space="preserve">. Mr M22’s </w:t>
            </w:r>
            <w:r w:rsidRPr="00F5238C">
              <w:rPr>
                <w:rFonts w:cs="Arial"/>
              </w:rPr>
              <w:t xml:space="preserve">son stated that </w:t>
            </w:r>
            <w:r>
              <w:rPr>
                <w:rFonts w:cs="Arial"/>
              </w:rPr>
              <w:t>Mr M22 was</w:t>
            </w:r>
            <w:r w:rsidRPr="00F5238C">
              <w:rPr>
                <w:rFonts w:cs="Arial"/>
              </w:rPr>
              <w:t xml:space="preserve"> willing to go into hospital </w:t>
            </w:r>
            <w:r>
              <w:rPr>
                <w:rFonts w:cs="Arial"/>
              </w:rPr>
              <w:t>the following day. The</w:t>
            </w:r>
            <w:r w:rsidRPr="00F5238C">
              <w:rPr>
                <w:rFonts w:cs="Arial"/>
              </w:rPr>
              <w:t xml:space="preserve"> GP strongly advised</w:t>
            </w:r>
            <w:r>
              <w:rPr>
                <w:rFonts w:cs="Arial"/>
              </w:rPr>
              <w:t xml:space="preserve"> that he should go</w:t>
            </w:r>
            <w:r w:rsidRPr="00F5238C">
              <w:rPr>
                <w:rFonts w:cs="Arial"/>
              </w:rPr>
              <w:t xml:space="preserve"> as soon as possible due to risk of sepsis and death. </w:t>
            </w:r>
            <w:r>
              <w:rPr>
                <w:rFonts w:cs="Arial"/>
              </w:rPr>
              <w:t xml:space="preserve">The </w:t>
            </w:r>
            <w:r w:rsidRPr="00F5238C">
              <w:rPr>
                <w:rFonts w:cs="Arial"/>
              </w:rPr>
              <w:t>GP prescribe</w:t>
            </w:r>
            <w:r>
              <w:rPr>
                <w:rFonts w:cs="Arial"/>
              </w:rPr>
              <w:t>d</w:t>
            </w:r>
            <w:r w:rsidRPr="00F5238C">
              <w:rPr>
                <w:rFonts w:cs="Arial"/>
              </w:rPr>
              <w:t xml:space="preserve"> antibiotics in </w:t>
            </w:r>
            <w:r>
              <w:rPr>
                <w:rFonts w:cs="Arial"/>
              </w:rPr>
              <w:t xml:space="preserve">the </w:t>
            </w:r>
            <w:r w:rsidRPr="00F5238C">
              <w:rPr>
                <w:rFonts w:cs="Arial"/>
              </w:rPr>
              <w:t xml:space="preserve">meantime. </w:t>
            </w:r>
            <w:r>
              <w:rPr>
                <w:rFonts w:cs="Arial"/>
              </w:rPr>
              <w:t>Mr M22’s s</w:t>
            </w:r>
            <w:r w:rsidRPr="00F5238C">
              <w:rPr>
                <w:rFonts w:cs="Arial"/>
              </w:rPr>
              <w:t xml:space="preserve">on </w:t>
            </w:r>
            <w:r>
              <w:rPr>
                <w:rFonts w:cs="Arial"/>
              </w:rPr>
              <w:t xml:space="preserve">was </w:t>
            </w:r>
            <w:r w:rsidRPr="00F5238C">
              <w:rPr>
                <w:rFonts w:cs="Arial"/>
              </w:rPr>
              <w:t xml:space="preserve">happy with </w:t>
            </w:r>
            <w:r>
              <w:rPr>
                <w:rFonts w:cs="Arial"/>
              </w:rPr>
              <w:t xml:space="preserve">the </w:t>
            </w:r>
            <w:r w:rsidRPr="00F5238C">
              <w:rPr>
                <w:rFonts w:cs="Arial"/>
              </w:rPr>
              <w:t>plan.</w:t>
            </w:r>
          </w:p>
        </w:tc>
      </w:tr>
      <w:tr w:rsidR="0016727C" w14:paraId="487F6255" w14:textId="77777777" w:rsidTr="00425557">
        <w:tc>
          <w:tcPr>
            <w:tcW w:w="613" w:type="pct"/>
          </w:tcPr>
          <w:p w14:paraId="4FE8F034" w14:textId="77777777" w:rsidR="0016727C" w:rsidRDefault="0016727C" w:rsidP="00FC7AD1">
            <w:pPr>
              <w:spacing w:after="120" w:line="360" w:lineRule="auto"/>
            </w:pPr>
            <w:r>
              <w:t>4.55</w:t>
            </w:r>
          </w:p>
        </w:tc>
        <w:tc>
          <w:tcPr>
            <w:tcW w:w="4387" w:type="pct"/>
          </w:tcPr>
          <w:p w14:paraId="3653D0D6" w14:textId="77777777" w:rsidR="0016727C" w:rsidRPr="00C7501E" w:rsidRDefault="0016727C" w:rsidP="00FC7AD1">
            <w:pPr>
              <w:spacing w:after="120" w:line="360" w:lineRule="auto"/>
            </w:pPr>
            <w:r w:rsidRPr="00AF34A4">
              <w:rPr>
                <w:rFonts w:cs="Arial"/>
              </w:rPr>
              <w:t>18.02.22 E</w:t>
            </w:r>
            <w:r>
              <w:rPr>
                <w:rFonts w:cs="Arial"/>
              </w:rPr>
              <w:t xml:space="preserve">ast </w:t>
            </w:r>
            <w:r w:rsidRPr="00AF34A4">
              <w:rPr>
                <w:rFonts w:cs="Arial"/>
              </w:rPr>
              <w:t>M</w:t>
            </w:r>
            <w:r>
              <w:rPr>
                <w:rFonts w:cs="Arial"/>
              </w:rPr>
              <w:t xml:space="preserve">idlands </w:t>
            </w:r>
            <w:r w:rsidRPr="00AF34A4">
              <w:rPr>
                <w:rFonts w:cs="Arial"/>
              </w:rPr>
              <w:t>A</w:t>
            </w:r>
            <w:r>
              <w:rPr>
                <w:rFonts w:cs="Arial"/>
              </w:rPr>
              <w:t xml:space="preserve">mbulance </w:t>
            </w:r>
            <w:r w:rsidRPr="00AF34A4">
              <w:rPr>
                <w:rFonts w:cs="Arial"/>
              </w:rPr>
              <w:t>S</w:t>
            </w:r>
            <w:r>
              <w:rPr>
                <w:rFonts w:cs="Arial"/>
              </w:rPr>
              <w:t>ervice</w:t>
            </w:r>
            <w:r w:rsidRPr="00AF34A4">
              <w:rPr>
                <w:rFonts w:cs="Arial"/>
              </w:rPr>
              <w:t xml:space="preserve"> </w:t>
            </w:r>
            <w:r>
              <w:rPr>
                <w:rFonts w:cs="Arial"/>
              </w:rPr>
              <w:t xml:space="preserve">were </w:t>
            </w:r>
            <w:r w:rsidRPr="00AF34A4">
              <w:rPr>
                <w:rFonts w:cs="Arial"/>
              </w:rPr>
              <w:t xml:space="preserve">requested by </w:t>
            </w:r>
            <w:r>
              <w:rPr>
                <w:rFonts w:cs="Arial"/>
              </w:rPr>
              <w:t xml:space="preserve">the </w:t>
            </w:r>
            <w:r w:rsidRPr="00AF34A4">
              <w:rPr>
                <w:rFonts w:cs="Arial"/>
              </w:rPr>
              <w:t xml:space="preserve">GP to transport Mr M22 from </w:t>
            </w:r>
            <w:r>
              <w:rPr>
                <w:rFonts w:cs="Arial"/>
              </w:rPr>
              <w:t>home</w:t>
            </w:r>
            <w:r w:rsidRPr="00AF34A4">
              <w:rPr>
                <w:rFonts w:cs="Arial"/>
              </w:rPr>
              <w:t xml:space="preserve"> to Kings Mill hospital due to bilateral infected leg ulcers. On arrival </w:t>
            </w:r>
            <w:r>
              <w:rPr>
                <w:rFonts w:cs="Arial"/>
              </w:rPr>
              <w:t>the</w:t>
            </w:r>
            <w:r w:rsidRPr="00AF34A4">
              <w:rPr>
                <w:rFonts w:cs="Arial"/>
              </w:rPr>
              <w:t xml:space="preserve"> crew weighed Mr M22</w:t>
            </w:r>
            <w:r>
              <w:rPr>
                <w:rFonts w:cs="Arial"/>
              </w:rPr>
              <w:t xml:space="preserve">, which they </w:t>
            </w:r>
            <w:r w:rsidRPr="00AF34A4">
              <w:rPr>
                <w:rFonts w:cs="Arial"/>
              </w:rPr>
              <w:t>recorded as 27.6kg. EMAS transported Mr M22 to Kings Mill hospital</w:t>
            </w:r>
            <w:r>
              <w:rPr>
                <w:rFonts w:cs="Arial"/>
              </w:rPr>
              <w:t xml:space="preserve">, however upon arrival </w:t>
            </w:r>
            <w:r w:rsidRPr="00C56350">
              <w:t xml:space="preserve">Mr M22 refused </w:t>
            </w:r>
            <w:r>
              <w:t>to have</w:t>
            </w:r>
            <w:r w:rsidRPr="00C56350">
              <w:t xml:space="preserve"> his wounds seen or examined. He was assessed </w:t>
            </w:r>
            <w:r>
              <w:t>as having the</w:t>
            </w:r>
            <w:r w:rsidRPr="00C56350">
              <w:t xml:space="preserve"> mental capacity </w:t>
            </w:r>
            <w:r>
              <w:t>to make this</w:t>
            </w:r>
            <w:r w:rsidRPr="00C56350">
              <w:t xml:space="preserve"> decision. He was discharged on a course of oral antibiotic (Doxycycline).</w:t>
            </w:r>
          </w:p>
        </w:tc>
      </w:tr>
      <w:tr w:rsidR="0016727C" w14:paraId="1685A2FE" w14:textId="77777777" w:rsidTr="00425557">
        <w:tc>
          <w:tcPr>
            <w:tcW w:w="613" w:type="pct"/>
          </w:tcPr>
          <w:p w14:paraId="59EC2062" w14:textId="77777777" w:rsidR="0016727C" w:rsidRDefault="0016727C" w:rsidP="00FC7AD1">
            <w:pPr>
              <w:spacing w:after="120" w:line="360" w:lineRule="auto"/>
            </w:pPr>
            <w:r>
              <w:t>4.56</w:t>
            </w:r>
          </w:p>
        </w:tc>
        <w:tc>
          <w:tcPr>
            <w:tcW w:w="4387" w:type="pct"/>
          </w:tcPr>
          <w:p w14:paraId="5990792D" w14:textId="6A839D75" w:rsidR="0016727C" w:rsidRPr="00FC7AD1" w:rsidRDefault="0016727C" w:rsidP="00FC7AD1">
            <w:pPr>
              <w:spacing w:after="120" w:line="360" w:lineRule="auto"/>
              <w:rPr>
                <w:rFonts w:cs="Arial"/>
              </w:rPr>
            </w:pPr>
            <w:r w:rsidRPr="00554B92">
              <w:rPr>
                <w:rFonts w:cs="Arial"/>
              </w:rPr>
              <w:t>22.02.22 O</w:t>
            </w:r>
            <w:r>
              <w:rPr>
                <w:rFonts w:cs="Arial"/>
              </w:rPr>
              <w:t xml:space="preserve">ccupational </w:t>
            </w:r>
            <w:r w:rsidRPr="00554B92">
              <w:rPr>
                <w:rFonts w:cs="Arial"/>
              </w:rPr>
              <w:t>T</w:t>
            </w:r>
            <w:r>
              <w:rPr>
                <w:rFonts w:cs="Arial"/>
              </w:rPr>
              <w:t>herapist</w:t>
            </w:r>
            <w:r w:rsidRPr="00554B92">
              <w:rPr>
                <w:rFonts w:cs="Arial"/>
              </w:rPr>
              <w:t xml:space="preserve"> </w:t>
            </w:r>
            <w:r>
              <w:rPr>
                <w:rFonts w:cs="Arial"/>
              </w:rPr>
              <w:t>v</w:t>
            </w:r>
            <w:r w:rsidRPr="00554B92">
              <w:rPr>
                <w:rFonts w:cs="Arial"/>
              </w:rPr>
              <w:t>isit</w:t>
            </w:r>
            <w:r>
              <w:rPr>
                <w:rFonts w:cs="Arial"/>
              </w:rPr>
              <w:t xml:space="preserve">ed </w:t>
            </w:r>
            <w:r w:rsidRPr="00554B92">
              <w:rPr>
                <w:rFonts w:cs="Arial"/>
              </w:rPr>
              <w:t xml:space="preserve">Mr M22 </w:t>
            </w:r>
            <w:r>
              <w:rPr>
                <w:rFonts w:cs="Arial"/>
              </w:rPr>
              <w:t xml:space="preserve">and observed that he </w:t>
            </w:r>
            <w:r w:rsidRPr="00554B92">
              <w:rPr>
                <w:rFonts w:cs="Arial"/>
              </w:rPr>
              <w:t>was in bed on arrival</w:t>
            </w:r>
            <w:r>
              <w:rPr>
                <w:rFonts w:cs="Arial"/>
              </w:rPr>
              <w:t xml:space="preserve"> and</w:t>
            </w:r>
            <w:r w:rsidRPr="00554B92">
              <w:rPr>
                <w:rFonts w:cs="Arial"/>
              </w:rPr>
              <w:t xml:space="preserve"> took a while to respond but did manage to use the profiling bed to sit up. He appears even thinner </w:t>
            </w:r>
            <w:r>
              <w:rPr>
                <w:rFonts w:cs="Arial"/>
              </w:rPr>
              <w:t xml:space="preserve">and weaker </w:t>
            </w:r>
            <w:r w:rsidRPr="00554B92">
              <w:rPr>
                <w:rFonts w:cs="Arial"/>
              </w:rPr>
              <w:t>than when</w:t>
            </w:r>
            <w:r>
              <w:rPr>
                <w:rFonts w:cs="Arial"/>
              </w:rPr>
              <w:t xml:space="preserve"> previously seen some weeks before</w:t>
            </w:r>
            <w:r w:rsidRPr="00554B92">
              <w:rPr>
                <w:rFonts w:cs="Arial"/>
              </w:rPr>
              <w:t>. Mr M22</w:t>
            </w:r>
            <w:r>
              <w:rPr>
                <w:rFonts w:cs="Arial"/>
              </w:rPr>
              <w:t>’s</w:t>
            </w:r>
            <w:r w:rsidRPr="00554B92">
              <w:rPr>
                <w:rFonts w:cs="Arial"/>
              </w:rPr>
              <w:t xml:space="preserve"> son </w:t>
            </w:r>
            <w:r>
              <w:rPr>
                <w:rFonts w:cs="Arial"/>
              </w:rPr>
              <w:t>expressed</w:t>
            </w:r>
            <w:r w:rsidRPr="00554B92">
              <w:rPr>
                <w:rFonts w:cs="Arial"/>
              </w:rPr>
              <w:t xml:space="preserve"> concerned that he </w:t>
            </w:r>
            <w:r>
              <w:rPr>
                <w:rFonts w:cs="Arial"/>
              </w:rPr>
              <w:t>was</w:t>
            </w:r>
            <w:r w:rsidRPr="00554B92">
              <w:rPr>
                <w:rFonts w:cs="Arial"/>
              </w:rPr>
              <w:t xml:space="preserve"> having to assist his </w:t>
            </w:r>
            <w:proofErr w:type="gramStart"/>
            <w:r w:rsidRPr="00554B92">
              <w:rPr>
                <w:rFonts w:cs="Arial"/>
              </w:rPr>
              <w:t>Dad</w:t>
            </w:r>
            <w:proofErr w:type="gramEnd"/>
            <w:r w:rsidRPr="00554B92">
              <w:rPr>
                <w:rFonts w:cs="Arial"/>
              </w:rPr>
              <w:t xml:space="preserve"> more than he </w:t>
            </w:r>
            <w:r>
              <w:rPr>
                <w:rFonts w:cs="Arial"/>
              </w:rPr>
              <w:t>had</w:t>
            </w:r>
            <w:r w:rsidRPr="00554B92">
              <w:rPr>
                <w:rFonts w:cs="Arial"/>
              </w:rPr>
              <w:t xml:space="preserve"> previously</w:t>
            </w:r>
            <w:r>
              <w:rPr>
                <w:rFonts w:cs="Arial"/>
              </w:rPr>
              <w:t>. Mr M22 was</w:t>
            </w:r>
            <w:r w:rsidRPr="00554B92">
              <w:rPr>
                <w:rFonts w:cs="Arial"/>
              </w:rPr>
              <w:t xml:space="preserve"> able to transfer onto his wheelchair and wheel himself to the shower room and back to his bed. Mr M22 advised that he is being seen by</w:t>
            </w:r>
            <w:r>
              <w:rPr>
                <w:rFonts w:cs="Arial"/>
              </w:rPr>
              <w:t xml:space="preserve"> the district nursing</w:t>
            </w:r>
            <w:r w:rsidRPr="00554B92">
              <w:rPr>
                <w:rFonts w:cs="Arial"/>
              </w:rPr>
              <w:t xml:space="preserve"> team every </w:t>
            </w:r>
            <w:r>
              <w:rPr>
                <w:rFonts w:cs="Arial"/>
              </w:rPr>
              <w:t>two</w:t>
            </w:r>
            <w:r w:rsidRPr="00554B92">
              <w:rPr>
                <w:rFonts w:cs="Arial"/>
              </w:rPr>
              <w:t xml:space="preserve"> days to attend to his leg, but no surgery was possible due to his loss of weight increasing </w:t>
            </w:r>
            <w:r>
              <w:rPr>
                <w:rFonts w:cs="Arial"/>
              </w:rPr>
              <w:t xml:space="preserve">the </w:t>
            </w:r>
            <w:r w:rsidRPr="00554B92">
              <w:rPr>
                <w:rFonts w:cs="Arial"/>
              </w:rPr>
              <w:t xml:space="preserve">risks. Mr M22 stated that he </w:t>
            </w:r>
            <w:r>
              <w:rPr>
                <w:rFonts w:cs="Arial"/>
              </w:rPr>
              <w:t>did</w:t>
            </w:r>
            <w:r w:rsidRPr="00554B92">
              <w:rPr>
                <w:rFonts w:cs="Arial"/>
              </w:rPr>
              <w:t xml:space="preserve"> not wish to go back into hospital.</w:t>
            </w:r>
          </w:p>
        </w:tc>
      </w:tr>
      <w:tr w:rsidR="0016727C" w14:paraId="05FFB344" w14:textId="77777777" w:rsidTr="00425557">
        <w:tc>
          <w:tcPr>
            <w:tcW w:w="613" w:type="pct"/>
          </w:tcPr>
          <w:p w14:paraId="1FCAB67A" w14:textId="77777777" w:rsidR="0016727C" w:rsidRDefault="0016727C" w:rsidP="00FC7AD1">
            <w:pPr>
              <w:spacing w:after="120" w:line="360" w:lineRule="auto"/>
            </w:pPr>
            <w:r>
              <w:t>4.57</w:t>
            </w:r>
          </w:p>
        </w:tc>
        <w:tc>
          <w:tcPr>
            <w:tcW w:w="4387" w:type="pct"/>
          </w:tcPr>
          <w:p w14:paraId="7B65A88A" w14:textId="563C93CE" w:rsidR="0016727C" w:rsidRPr="00CF6812" w:rsidRDefault="0016727C" w:rsidP="00FC7AD1">
            <w:pPr>
              <w:spacing w:after="120" w:line="360" w:lineRule="auto"/>
              <w:rPr>
                <w:rFonts w:cs="Arial"/>
              </w:rPr>
            </w:pPr>
            <w:r>
              <w:rPr>
                <w:rFonts w:cs="Arial"/>
              </w:rPr>
              <w:t xml:space="preserve">At </w:t>
            </w:r>
            <w:r w:rsidRPr="00CF6812">
              <w:rPr>
                <w:rFonts w:cs="Arial"/>
              </w:rPr>
              <w:t>12.55</w:t>
            </w:r>
            <w:r>
              <w:rPr>
                <w:rFonts w:cs="Arial"/>
              </w:rPr>
              <w:t>hrs the d</w:t>
            </w:r>
            <w:r w:rsidRPr="00CF6812">
              <w:rPr>
                <w:rFonts w:cs="Arial"/>
              </w:rPr>
              <w:t>uty S</w:t>
            </w:r>
            <w:r>
              <w:rPr>
                <w:rFonts w:cs="Arial"/>
              </w:rPr>
              <w:t xml:space="preserve">ocial </w:t>
            </w:r>
            <w:r w:rsidRPr="00CF6812">
              <w:rPr>
                <w:rFonts w:cs="Arial"/>
              </w:rPr>
              <w:t>W</w:t>
            </w:r>
            <w:r>
              <w:rPr>
                <w:rFonts w:cs="Arial"/>
              </w:rPr>
              <w:t>orker</w:t>
            </w:r>
            <w:r w:rsidRPr="00CF6812">
              <w:rPr>
                <w:rFonts w:cs="Arial"/>
              </w:rPr>
              <w:t xml:space="preserve"> </w:t>
            </w:r>
            <w:r>
              <w:rPr>
                <w:rFonts w:cs="Arial"/>
              </w:rPr>
              <w:t xml:space="preserve">was </w:t>
            </w:r>
            <w:r w:rsidRPr="00CF6812">
              <w:rPr>
                <w:rFonts w:cs="Arial"/>
              </w:rPr>
              <w:t xml:space="preserve">contact </w:t>
            </w:r>
            <w:r>
              <w:rPr>
                <w:rFonts w:cs="Arial"/>
              </w:rPr>
              <w:t>by the</w:t>
            </w:r>
            <w:r w:rsidRPr="00CF6812">
              <w:rPr>
                <w:rFonts w:cs="Arial"/>
              </w:rPr>
              <w:t xml:space="preserve"> OT from Forest Hospitals trust requesting an assessment for support for Mr M22, as </w:t>
            </w:r>
            <w:r>
              <w:rPr>
                <w:rFonts w:cs="Arial"/>
              </w:rPr>
              <w:t xml:space="preserve">Mr M22’ son </w:t>
            </w:r>
            <w:r w:rsidRPr="00CF6812">
              <w:rPr>
                <w:rFonts w:cs="Arial"/>
              </w:rPr>
              <w:t xml:space="preserve">has voiced concern that he is struggling with his </w:t>
            </w:r>
            <w:proofErr w:type="gramStart"/>
            <w:r w:rsidRPr="00CF6812">
              <w:rPr>
                <w:rFonts w:cs="Arial"/>
              </w:rPr>
              <w:t>Dad's</w:t>
            </w:r>
            <w:proofErr w:type="gramEnd"/>
            <w:r w:rsidRPr="00CF6812">
              <w:rPr>
                <w:rFonts w:cs="Arial"/>
              </w:rPr>
              <w:t xml:space="preserve"> complex needs.</w:t>
            </w:r>
            <w:r>
              <w:rPr>
                <w:rFonts w:cs="Arial"/>
              </w:rPr>
              <w:t xml:space="preserve"> At </w:t>
            </w:r>
            <w:r w:rsidRPr="00CF6812">
              <w:rPr>
                <w:rFonts w:cs="Arial"/>
              </w:rPr>
              <w:lastRenderedPageBreak/>
              <w:t>16.00</w:t>
            </w:r>
            <w:r>
              <w:rPr>
                <w:rFonts w:cs="Arial"/>
              </w:rPr>
              <w:t>hrs the social worker called</w:t>
            </w:r>
            <w:r w:rsidRPr="00CF6812">
              <w:rPr>
                <w:rFonts w:cs="Arial"/>
              </w:rPr>
              <w:t xml:space="preserve"> Mr M22</w:t>
            </w:r>
            <w:r>
              <w:rPr>
                <w:rFonts w:cs="Arial"/>
              </w:rPr>
              <w:t>’s</w:t>
            </w:r>
            <w:r w:rsidRPr="00CF6812">
              <w:rPr>
                <w:rFonts w:cs="Arial"/>
              </w:rPr>
              <w:t xml:space="preserve"> son t</w:t>
            </w:r>
            <w:r>
              <w:rPr>
                <w:rFonts w:cs="Arial"/>
              </w:rPr>
              <w:t xml:space="preserve">o </w:t>
            </w:r>
            <w:r w:rsidRPr="00CF6812">
              <w:rPr>
                <w:rFonts w:cs="Arial"/>
              </w:rPr>
              <w:t>discuss </w:t>
            </w:r>
            <w:r>
              <w:rPr>
                <w:rFonts w:cs="Arial"/>
              </w:rPr>
              <w:t xml:space="preserve">the </w:t>
            </w:r>
            <w:r w:rsidRPr="00CF6812">
              <w:rPr>
                <w:rFonts w:cs="Arial"/>
              </w:rPr>
              <w:t xml:space="preserve">concerns raised. </w:t>
            </w:r>
            <w:r>
              <w:rPr>
                <w:rFonts w:cs="Arial"/>
              </w:rPr>
              <w:t xml:space="preserve">There was no </w:t>
            </w:r>
            <w:proofErr w:type="gramStart"/>
            <w:r>
              <w:rPr>
                <w:rFonts w:cs="Arial"/>
              </w:rPr>
              <w:t>reply</w:t>
            </w:r>
            <w:proofErr w:type="gramEnd"/>
            <w:r>
              <w:rPr>
                <w:rFonts w:cs="Arial"/>
              </w:rPr>
              <w:t xml:space="preserve"> and a message was left</w:t>
            </w:r>
            <w:r w:rsidRPr="00CF6812">
              <w:rPr>
                <w:rFonts w:cs="Arial"/>
              </w:rPr>
              <w:t>.</w:t>
            </w:r>
          </w:p>
        </w:tc>
      </w:tr>
      <w:tr w:rsidR="0016727C" w14:paraId="6E53E231" w14:textId="77777777" w:rsidTr="00425557">
        <w:tc>
          <w:tcPr>
            <w:tcW w:w="613" w:type="pct"/>
          </w:tcPr>
          <w:p w14:paraId="3D8CF85E" w14:textId="77777777" w:rsidR="0016727C" w:rsidRDefault="0016727C" w:rsidP="00FC7AD1">
            <w:pPr>
              <w:spacing w:after="120" w:line="360" w:lineRule="auto"/>
            </w:pPr>
            <w:r>
              <w:lastRenderedPageBreak/>
              <w:t>4.58</w:t>
            </w:r>
          </w:p>
          <w:p w14:paraId="6420FE9F" w14:textId="77777777" w:rsidR="0016727C" w:rsidRDefault="0016727C" w:rsidP="00FC7AD1">
            <w:pPr>
              <w:spacing w:after="120" w:line="360" w:lineRule="auto"/>
            </w:pPr>
          </w:p>
        </w:tc>
        <w:tc>
          <w:tcPr>
            <w:tcW w:w="4387" w:type="pct"/>
          </w:tcPr>
          <w:p w14:paraId="650AE72F" w14:textId="6CFF1ACD" w:rsidR="0016727C" w:rsidRPr="00FC7AD1" w:rsidRDefault="0016727C" w:rsidP="00FC7AD1">
            <w:pPr>
              <w:spacing w:after="120" w:line="360" w:lineRule="auto"/>
              <w:rPr>
                <w:rFonts w:cstheme="majorHAnsi"/>
              </w:rPr>
            </w:pPr>
            <w:r>
              <w:rPr>
                <w:rFonts w:cstheme="majorHAnsi"/>
              </w:rPr>
              <w:t>On 23.02.22 Social workers held a meeting</w:t>
            </w:r>
            <w:r w:rsidRPr="00820895">
              <w:rPr>
                <w:rFonts w:cstheme="majorHAnsi"/>
              </w:rPr>
              <w:t xml:space="preserve"> to discuss th</w:t>
            </w:r>
            <w:r>
              <w:rPr>
                <w:rFonts w:cstheme="majorHAnsi"/>
              </w:rPr>
              <w:t>e issue that</w:t>
            </w:r>
            <w:r w:rsidRPr="00820895">
              <w:rPr>
                <w:rFonts w:cstheme="majorHAnsi"/>
              </w:rPr>
              <w:t xml:space="preserve"> Mr M22</w:t>
            </w:r>
            <w:r>
              <w:rPr>
                <w:rFonts w:cstheme="majorHAnsi"/>
              </w:rPr>
              <w:t>’s</w:t>
            </w:r>
            <w:r w:rsidRPr="00820895">
              <w:rPr>
                <w:rFonts w:cstheme="majorHAnsi"/>
              </w:rPr>
              <w:t xml:space="preserve"> son is requesting support with caring for his father after </w:t>
            </w:r>
            <w:r>
              <w:rPr>
                <w:rFonts w:cstheme="majorHAnsi"/>
              </w:rPr>
              <w:t xml:space="preserve">the </w:t>
            </w:r>
            <w:r w:rsidRPr="00820895">
              <w:rPr>
                <w:rFonts w:cstheme="majorHAnsi"/>
              </w:rPr>
              <w:t xml:space="preserve">OT voiced concerns. </w:t>
            </w:r>
            <w:r>
              <w:rPr>
                <w:rFonts w:cstheme="majorHAnsi"/>
              </w:rPr>
              <w:t>The case was</w:t>
            </w:r>
            <w:r w:rsidRPr="00820895">
              <w:rPr>
                <w:rFonts w:cstheme="majorHAnsi"/>
              </w:rPr>
              <w:t xml:space="preserve"> allocated to </w:t>
            </w:r>
            <w:r>
              <w:rPr>
                <w:rFonts w:cstheme="majorHAnsi"/>
              </w:rPr>
              <w:t xml:space="preserve">a social worker </w:t>
            </w:r>
            <w:r w:rsidRPr="00820895">
              <w:rPr>
                <w:rFonts w:cstheme="majorHAnsi"/>
              </w:rPr>
              <w:t>on 23</w:t>
            </w:r>
            <w:r>
              <w:rPr>
                <w:rFonts w:cstheme="majorHAnsi"/>
              </w:rPr>
              <w:t>.0</w:t>
            </w:r>
            <w:r w:rsidRPr="00820895">
              <w:rPr>
                <w:rFonts w:cstheme="majorHAnsi"/>
              </w:rPr>
              <w:t>2</w:t>
            </w:r>
            <w:r>
              <w:rPr>
                <w:rFonts w:cstheme="majorHAnsi"/>
              </w:rPr>
              <w:t>.</w:t>
            </w:r>
            <w:r w:rsidRPr="00820895">
              <w:rPr>
                <w:rFonts w:cstheme="majorHAnsi"/>
              </w:rPr>
              <w:t xml:space="preserve">22 </w:t>
            </w:r>
            <w:r>
              <w:rPr>
                <w:rFonts w:cstheme="majorHAnsi"/>
              </w:rPr>
              <w:t>to</w:t>
            </w:r>
            <w:r w:rsidRPr="00820895">
              <w:rPr>
                <w:rFonts w:cstheme="majorHAnsi"/>
              </w:rPr>
              <w:t xml:space="preserve"> plan </w:t>
            </w:r>
            <w:r>
              <w:rPr>
                <w:rFonts w:cstheme="majorHAnsi"/>
              </w:rPr>
              <w:t xml:space="preserve">a </w:t>
            </w:r>
            <w:r w:rsidRPr="00820895">
              <w:rPr>
                <w:rFonts w:cstheme="majorHAnsi"/>
              </w:rPr>
              <w:t>visit</w:t>
            </w:r>
            <w:r>
              <w:rPr>
                <w:rFonts w:cstheme="majorHAnsi"/>
              </w:rPr>
              <w:t xml:space="preserve"> to</w:t>
            </w:r>
            <w:r w:rsidRPr="00820895">
              <w:rPr>
                <w:rFonts w:cstheme="majorHAnsi"/>
              </w:rPr>
              <w:t xml:space="preserve"> see Mr M22 </w:t>
            </w:r>
            <w:r>
              <w:rPr>
                <w:rFonts w:cstheme="majorHAnsi"/>
              </w:rPr>
              <w:t>and his son regarding further</w:t>
            </w:r>
            <w:r w:rsidRPr="00820895">
              <w:rPr>
                <w:rFonts w:cstheme="majorHAnsi"/>
              </w:rPr>
              <w:t xml:space="preserve"> support as Mr M22</w:t>
            </w:r>
            <w:r>
              <w:rPr>
                <w:rFonts w:cstheme="majorHAnsi"/>
              </w:rPr>
              <w:t>’s</w:t>
            </w:r>
            <w:r w:rsidRPr="00820895">
              <w:rPr>
                <w:rFonts w:cstheme="majorHAnsi"/>
              </w:rPr>
              <w:t xml:space="preserve"> health needs have increased. Mr M22</w:t>
            </w:r>
            <w:r>
              <w:rPr>
                <w:rFonts w:cstheme="majorHAnsi"/>
              </w:rPr>
              <w:t>’s</w:t>
            </w:r>
            <w:r w:rsidRPr="00820895">
              <w:rPr>
                <w:rFonts w:cstheme="majorHAnsi"/>
              </w:rPr>
              <w:t xml:space="preserve"> son wanting to cease being </w:t>
            </w:r>
            <w:r>
              <w:rPr>
                <w:rFonts w:cstheme="majorHAnsi"/>
              </w:rPr>
              <w:t xml:space="preserve">his </w:t>
            </w:r>
            <w:proofErr w:type="gramStart"/>
            <w:r w:rsidRPr="00820895">
              <w:rPr>
                <w:rFonts w:cstheme="majorHAnsi"/>
              </w:rPr>
              <w:t>full time</w:t>
            </w:r>
            <w:proofErr w:type="gramEnd"/>
            <w:r w:rsidRPr="00820895">
              <w:rPr>
                <w:rFonts w:cstheme="majorHAnsi"/>
              </w:rPr>
              <w:t xml:space="preserve"> </w:t>
            </w:r>
            <w:proofErr w:type="spellStart"/>
            <w:r w:rsidRPr="00820895">
              <w:rPr>
                <w:rFonts w:cstheme="majorHAnsi"/>
              </w:rPr>
              <w:t>carer</w:t>
            </w:r>
            <w:proofErr w:type="spellEnd"/>
            <w:r w:rsidRPr="00820895">
              <w:rPr>
                <w:rFonts w:cstheme="majorHAnsi"/>
              </w:rPr>
              <w:t>. Mr M22</w:t>
            </w:r>
            <w:r>
              <w:rPr>
                <w:rFonts w:cstheme="majorHAnsi"/>
              </w:rPr>
              <w:t>’s</w:t>
            </w:r>
            <w:r w:rsidRPr="00820895">
              <w:rPr>
                <w:rFonts w:cstheme="majorHAnsi"/>
              </w:rPr>
              <w:t xml:space="preserve"> son did not respond to </w:t>
            </w:r>
            <w:r>
              <w:rPr>
                <w:rFonts w:cstheme="majorHAnsi"/>
              </w:rPr>
              <w:t xml:space="preserve">a telephone </w:t>
            </w:r>
            <w:r w:rsidRPr="00820895">
              <w:rPr>
                <w:rFonts w:cstheme="majorHAnsi"/>
              </w:rPr>
              <w:t xml:space="preserve">call by </w:t>
            </w:r>
            <w:r>
              <w:rPr>
                <w:rFonts w:cstheme="majorHAnsi"/>
              </w:rPr>
              <w:t>d</w:t>
            </w:r>
            <w:r w:rsidRPr="00820895">
              <w:rPr>
                <w:rFonts w:cstheme="majorHAnsi"/>
              </w:rPr>
              <w:t xml:space="preserve">uty </w:t>
            </w:r>
            <w:r>
              <w:rPr>
                <w:rFonts w:cstheme="majorHAnsi"/>
              </w:rPr>
              <w:t xml:space="preserve">social </w:t>
            </w:r>
            <w:r w:rsidRPr="00820895">
              <w:rPr>
                <w:rFonts w:cstheme="majorHAnsi"/>
              </w:rPr>
              <w:t>worker about the initial referral on 22</w:t>
            </w:r>
            <w:r>
              <w:rPr>
                <w:rFonts w:cstheme="majorHAnsi"/>
              </w:rPr>
              <w:t>.0</w:t>
            </w:r>
            <w:r w:rsidRPr="00820895">
              <w:rPr>
                <w:rFonts w:cstheme="majorHAnsi"/>
              </w:rPr>
              <w:t>2</w:t>
            </w:r>
            <w:r>
              <w:rPr>
                <w:rFonts w:cstheme="majorHAnsi"/>
              </w:rPr>
              <w:t>.</w:t>
            </w:r>
            <w:r w:rsidRPr="00820895">
              <w:rPr>
                <w:rFonts w:cstheme="majorHAnsi"/>
              </w:rPr>
              <w:t>22</w:t>
            </w:r>
            <w:r>
              <w:rPr>
                <w:rFonts w:cstheme="majorHAnsi"/>
              </w:rPr>
              <w:t xml:space="preserve">. </w:t>
            </w:r>
            <w:r w:rsidRPr="00820895">
              <w:rPr>
                <w:rFonts w:cstheme="majorHAnsi"/>
              </w:rPr>
              <w:t xml:space="preserve"> </w:t>
            </w:r>
          </w:p>
        </w:tc>
      </w:tr>
      <w:tr w:rsidR="0016727C" w14:paraId="7B824C8D" w14:textId="77777777" w:rsidTr="00425557">
        <w:tc>
          <w:tcPr>
            <w:tcW w:w="613" w:type="pct"/>
          </w:tcPr>
          <w:p w14:paraId="23197620" w14:textId="77777777" w:rsidR="0016727C" w:rsidRDefault="0016727C" w:rsidP="00FC7AD1">
            <w:pPr>
              <w:spacing w:after="120" w:line="360" w:lineRule="auto"/>
            </w:pPr>
            <w:r>
              <w:t>4.59</w:t>
            </w:r>
          </w:p>
        </w:tc>
        <w:tc>
          <w:tcPr>
            <w:tcW w:w="4387" w:type="pct"/>
          </w:tcPr>
          <w:p w14:paraId="72DF4C62" w14:textId="11B429EE" w:rsidR="0016727C" w:rsidRPr="00FC7AD1" w:rsidRDefault="0016727C" w:rsidP="00FC7AD1">
            <w:pPr>
              <w:spacing w:after="120" w:line="360" w:lineRule="auto"/>
              <w:rPr>
                <w:rFonts w:cstheme="majorHAnsi"/>
              </w:rPr>
            </w:pPr>
            <w:r>
              <w:rPr>
                <w:rFonts w:cstheme="majorHAnsi"/>
              </w:rPr>
              <w:t xml:space="preserve">Despite numerous attempts to contact Mr M22, and a personal visit to his home, the social worker was unable to meet with Mr M22 or his son. </w:t>
            </w:r>
          </w:p>
        </w:tc>
      </w:tr>
      <w:tr w:rsidR="0016727C" w14:paraId="46CF37A9" w14:textId="77777777" w:rsidTr="00425557">
        <w:tc>
          <w:tcPr>
            <w:tcW w:w="613" w:type="pct"/>
          </w:tcPr>
          <w:p w14:paraId="50BFAE4A" w14:textId="77777777" w:rsidR="0016727C" w:rsidRDefault="0016727C" w:rsidP="00FC7AD1">
            <w:pPr>
              <w:spacing w:after="120" w:line="360" w:lineRule="auto"/>
            </w:pPr>
            <w:r>
              <w:t>4.60</w:t>
            </w:r>
          </w:p>
        </w:tc>
        <w:tc>
          <w:tcPr>
            <w:tcW w:w="4387" w:type="pct"/>
          </w:tcPr>
          <w:p w14:paraId="3D00126A" w14:textId="47B941E3" w:rsidR="0016727C" w:rsidRPr="00FC7AD1" w:rsidRDefault="0016727C" w:rsidP="00FC7AD1">
            <w:pPr>
              <w:pStyle w:val="NormalWeb"/>
              <w:spacing w:before="0" w:beforeAutospacing="0" w:after="120" w:afterAutospacing="0" w:line="360" w:lineRule="auto"/>
              <w:textAlignment w:val="baseline"/>
              <w:rPr>
                <w:rFonts w:asciiTheme="minorHAnsi" w:hAnsiTheme="minorHAnsi" w:cs="Arial"/>
                <w:bCs/>
              </w:rPr>
            </w:pPr>
            <w:r>
              <w:rPr>
                <w:rFonts w:asciiTheme="minorHAnsi" w:hAnsiTheme="minorHAnsi" w:cs="Arial"/>
                <w:bCs/>
              </w:rPr>
              <w:t xml:space="preserve">07.03.22 </w:t>
            </w:r>
            <w:r w:rsidRPr="00ED411C">
              <w:rPr>
                <w:rFonts w:asciiTheme="minorHAnsi" w:hAnsiTheme="minorHAnsi" w:cs="Arial"/>
                <w:bCs/>
              </w:rPr>
              <w:t>A</w:t>
            </w:r>
            <w:r>
              <w:rPr>
                <w:rFonts w:asciiTheme="minorHAnsi" w:hAnsiTheme="minorHAnsi" w:cs="Arial"/>
                <w:bCs/>
              </w:rPr>
              <w:t xml:space="preserve">dult </w:t>
            </w:r>
            <w:r w:rsidRPr="00ED411C">
              <w:rPr>
                <w:rFonts w:asciiTheme="minorHAnsi" w:hAnsiTheme="minorHAnsi" w:cs="Arial"/>
                <w:bCs/>
              </w:rPr>
              <w:t>I</w:t>
            </w:r>
            <w:r>
              <w:rPr>
                <w:rFonts w:asciiTheme="minorHAnsi" w:hAnsiTheme="minorHAnsi" w:cs="Arial"/>
                <w:bCs/>
              </w:rPr>
              <w:t xml:space="preserve">ntegrated </w:t>
            </w:r>
            <w:r w:rsidRPr="00ED411C">
              <w:rPr>
                <w:rFonts w:asciiTheme="minorHAnsi" w:hAnsiTheme="minorHAnsi" w:cs="Arial"/>
                <w:bCs/>
              </w:rPr>
              <w:t>C</w:t>
            </w:r>
            <w:r>
              <w:rPr>
                <w:rFonts w:asciiTheme="minorHAnsi" w:hAnsiTheme="minorHAnsi" w:cs="Arial"/>
                <w:bCs/>
              </w:rPr>
              <w:t>ar</w:t>
            </w:r>
            <w:r w:rsidRPr="00820895">
              <w:rPr>
                <w:rFonts w:asciiTheme="minorHAnsi" w:hAnsiTheme="minorHAnsi" w:cs="Arial"/>
                <w:bCs/>
              </w:rPr>
              <w:t xml:space="preserve">, entry stating </w:t>
            </w:r>
            <w:r>
              <w:rPr>
                <w:rFonts w:asciiTheme="minorHAnsi" w:hAnsiTheme="minorHAnsi" w:cs="Arial"/>
                <w:bCs/>
              </w:rPr>
              <w:t xml:space="preserve">that </w:t>
            </w:r>
            <w:r w:rsidRPr="00820895">
              <w:rPr>
                <w:rFonts w:asciiTheme="minorHAnsi" w:hAnsiTheme="minorHAnsi" w:cs="Arial"/>
                <w:bCs/>
              </w:rPr>
              <w:t xml:space="preserve">Mr M22 had been seen out </w:t>
            </w:r>
            <w:r>
              <w:rPr>
                <w:rFonts w:asciiTheme="minorHAnsi" w:hAnsiTheme="minorHAnsi" w:cs="Arial"/>
                <w:bCs/>
              </w:rPr>
              <w:t xml:space="preserve">of </w:t>
            </w:r>
            <w:r w:rsidRPr="00820895">
              <w:rPr>
                <w:rFonts w:asciiTheme="minorHAnsi" w:hAnsiTheme="minorHAnsi" w:cs="Arial"/>
                <w:bCs/>
              </w:rPr>
              <w:t xml:space="preserve">the house by a member of the team. </w:t>
            </w:r>
            <w:r>
              <w:rPr>
                <w:rFonts w:asciiTheme="minorHAnsi" w:hAnsiTheme="minorHAnsi" w:cs="Arial"/>
                <w:bCs/>
              </w:rPr>
              <w:t>They were u</w:t>
            </w:r>
            <w:r w:rsidRPr="00820895">
              <w:rPr>
                <w:rFonts w:asciiTheme="minorHAnsi" w:hAnsiTheme="minorHAnsi" w:cs="Arial"/>
                <w:bCs/>
              </w:rPr>
              <w:t xml:space="preserve">nhappy to discharge him as </w:t>
            </w:r>
            <w:r>
              <w:rPr>
                <w:rFonts w:asciiTheme="minorHAnsi" w:hAnsiTheme="minorHAnsi" w:cs="Arial"/>
                <w:bCs/>
              </w:rPr>
              <w:t xml:space="preserve">they </w:t>
            </w:r>
            <w:r w:rsidRPr="00820895">
              <w:rPr>
                <w:rFonts w:asciiTheme="minorHAnsi" w:hAnsiTheme="minorHAnsi" w:cs="Arial"/>
                <w:bCs/>
              </w:rPr>
              <w:t>felt t</w:t>
            </w:r>
            <w:r>
              <w:rPr>
                <w:rFonts w:asciiTheme="minorHAnsi" w:hAnsiTheme="minorHAnsi" w:cs="Arial"/>
                <w:bCs/>
              </w:rPr>
              <w:t>hey</w:t>
            </w:r>
            <w:r w:rsidRPr="00820895">
              <w:rPr>
                <w:rFonts w:asciiTheme="minorHAnsi" w:hAnsiTheme="minorHAnsi" w:cs="Arial"/>
                <w:bCs/>
              </w:rPr>
              <w:t xml:space="preserve"> should be considering palliative care for Mr M22. Awaiting instruction from GP.</w:t>
            </w:r>
          </w:p>
        </w:tc>
      </w:tr>
      <w:tr w:rsidR="0016727C" w14:paraId="1155A80A" w14:textId="77777777" w:rsidTr="00425557">
        <w:tc>
          <w:tcPr>
            <w:tcW w:w="613" w:type="pct"/>
          </w:tcPr>
          <w:p w14:paraId="16972F5B" w14:textId="77777777" w:rsidR="0016727C" w:rsidRDefault="0016727C" w:rsidP="00FC7AD1">
            <w:pPr>
              <w:spacing w:after="120" w:line="360" w:lineRule="auto"/>
            </w:pPr>
            <w:r>
              <w:t>4.61</w:t>
            </w:r>
          </w:p>
        </w:tc>
        <w:tc>
          <w:tcPr>
            <w:tcW w:w="4387" w:type="pct"/>
          </w:tcPr>
          <w:p w14:paraId="481CBB99" w14:textId="292184AC" w:rsidR="0016727C" w:rsidRPr="00FC7AD1" w:rsidRDefault="0016727C" w:rsidP="00FC7AD1">
            <w:pPr>
              <w:spacing w:after="120" w:line="360" w:lineRule="auto"/>
              <w:rPr>
                <w:rFonts w:cs="Arial"/>
              </w:rPr>
            </w:pPr>
            <w:r w:rsidRPr="000644A7">
              <w:rPr>
                <w:rFonts w:cs="Arial"/>
              </w:rPr>
              <w:t xml:space="preserve">21.03.22 </w:t>
            </w:r>
            <w:r>
              <w:rPr>
                <w:rFonts w:cs="Arial"/>
              </w:rPr>
              <w:t xml:space="preserve">The </w:t>
            </w:r>
            <w:r w:rsidRPr="000644A7">
              <w:rPr>
                <w:rFonts w:cs="Arial"/>
              </w:rPr>
              <w:t xml:space="preserve">Tenancy Sustainment Officer </w:t>
            </w:r>
            <w:r>
              <w:rPr>
                <w:rFonts w:cs="Arial"/>
              </w:rPr>
              <w:t xml:space="preserve">(TSO) </w:t>
            </w:r>
            <w:r w:rsidRPr="000644A7">
              <w:rPr>
                <w:rFonts w:cs="Arial"/>
              </w:rPr>
              <w:t>visited Mr M22 at his home</w:t>
            </w:r>
            <w:r>
              <w:rPr>
                <w:rFonts w:cs="Arial"/>
              </w:rPr>
              <w:t>, his s</w:t>
            </w:r>
            <w:r w:rsidRPr="000644A7">
              <w:rPr>
                <w:rFonts w:cs="Arial"/>
              </w:rPr>
              <w:t xml:space="preserve">on was also present. Mr M22 was in a hospital bed. Mr M22 pulled himself up to speak to TSO. TSO asked Mr M22 how he was doing as he looked frail and on occasion moaned as he moved. Mr M22 said he was ok and felt that his infection was now responding to treatment. Mr M22 son stated the district nurse was </w:t>
            </w:r>
            <w:r>
              <w:rPr>
                <w:rFonts w:cs="Arial"/>
              </w:rPr>
              <w:t xml:space="preserve">now </w:t>
            </w:r>
            <w:r w:rsidRPr="000644A7">
              <w:rPr>
                <w:rFonts w:cs="Arial"/>
              </w:rPr>
              <w:t>coming out</w:t>
            </w:r>
            <w:r w:rsidRPr="000644A7">
              <w:rPr>
                <w:rFonts w:cs="Arial"/>
                <w:i/>
                <w:iCs/>
              </w:rPr>
              <w:t xml:space="preserve"> </w:t>
            </w:r>
            <w:r w:rsidRPr="000644A7">
              <w:rPr>
                <w:rFonts w:cs="Arial"/>
              </w:rPr>
              <w:t>every other day.</w:t>
            </w:r>
          </w:p>
        </w:tc>
      </w:tr>
      <w:tr w:rsidR="0016727C" w14:paraId="6E922A05" w14:textId="77777777" w:rsidTr="00425557">
        <w:tc>
          <w:tcPr>
            <w:tcW w:w="613" w:type="pct"/>
          </w:tcPr>
          <w:p w14:paraId="1E1C37BD" w14:textId="77777777" w:rsidR="0016727C" w:rsidRDefault="0016727C" w:rsidP="00FC7AD1">
            <w:pPr>
              <w:spacing w:after="120" w:line="360" w:lineRule="auto"/>
            </w:pPr>
            <w:r>
              <w:t>4.62</w:t>
            </w:r>
          </w:p>
        </w:tc>
        <w:tc>
          <w:tcPr>
            <w:tcW w:w="4387" w:type="pct"/>
          </w:tcPr>
          <w:p w14:paraId="152604C8" w14:textId="05EB80D9" w:rsidR="0016727C" w:rsidRDefault="0016727C" w:rsidP="00FC7AD1">
            <w:pPr>
              <w:spacing w:after="120" w:line="360" w:lineRule="auto"/>
            </w:pPr>
            <w:r w:rsidRPr="004E6F52">
              <w:t xml:space="preserve">Telephone consultation with </w:t>
            </w:r>
            <w:r>
              <w:t>the</w:t>
            </w:r>
            <w:r w:rsidRPr="004E6F52">
              <w:t xml:space="preserve"> GP on 25</w:t>
            </w:r>
            <w:r>
              <w:t>.03.22</w:t>
            </w:r>
            <w:r w:rsidRPr="004E6F52">
              <w:t xml:space="preserve"> due to ongoing pain in his leg stumps.</w:t>
            </w:r>
            <w:r>
              <w:t xml:space="preserve"> The</w:t>
            </w:r>
            <w:r w:rsidRPr="004E6F52">
              <w:t xml:space="preserve"> GP noted that Mr M22 was still under the care of the Tissue Viability Nurses, and prescribed Oramorph (a painkiller) and </w:t>
            </w:r>
            <w:proofErr w:type="spellStart"/>
            <w:r w:rsidRPr="004E6F52">
              <w:t>Zomorph</w:t>
            </w:r>
            <w:proofErr w:type="spellEnd"/>
            <w:r w:rsidRPr="004E6F52">
              <w:t xml:space="preserve"> (a pain killer). </w:t>
            </w:r>
          </w:p>
        </w:tc>
      </w:tr>
      <w:tr w:rsidR="0016727C" w14:paraId="3D4CF8D1" w14:textId="77777777" w:rsidTr="00425557">
        <w:tc>
          <w:tcPr>
            <w:tcW w:w="613" w:type="pct"/>
          </w:tcPr>
          <w:p w14:paraId="7862F8F3" w14:textId="77777777" w:rsidR="0016727C" w:rsidRDefault="0016727C" w:rsidP="00FC7AD1">
            <w:pPr>
              <w:spacing w:after="120" w:line="360" w:lineRule="auto"/>
            </w:pPr>
            <w:r>
              <w:t>4.63</w:t>
            </w:r>
          </w:p>
        </w:tc>
        <w:tc>
          <w:tcPr>
            <w:tcW w:w="4387" w:type="pct"/>
          </w:tcPr>
          <w:p w14:paraId="6F8786D8" w14:textId="36BAA773" w:rsidR="0016727C" w:rsidRPr="008B3878" w:rsidRDefault="0016727C" w:rsidP="00FC7AD1">
            <w:pPr>
              <w:spacing w:after="120" w:line="360" w:lineRule="auto"/>
            </w:pPr>
            <w:proofErr w:type="gramStart"/>
            <w:r>
              <w:t>There</w:t>
            </w:r>
            <w:proofErr w:type="gramEnd"/>
            <w:r>
              <w:t xml:space="preserve"> a number of home visits which occur within this period which would appear to have involved routine dressing and wound care. No mention is made of any deterioration of Mr M22’s health. </w:t>
            </w:r>
          </w:p>
        </w:tc>
      </w:tr>
      <w:tr w:rsidR="0016727C" w14:paraId="61EE8ABE" w14:textId="77777777" w:rsidTr="00425557">
        <w:tc>
          <w:tcPr>
            <w:tcW w:w="613" w:type="pct"/>
          </w:tcPr>
          <w:p w14:paraId="4CF23694" w14:textId="77777777" w:rsidR="0016727C" w:rsidRDefault="0016727C" w:rsidP="00FC7AD1">
            <w:pPr>
              <w:spacing w:after="120" w:line="360" w:lineRule="auto"/>
            </w:pPr>
            <w:r>
              <w:lastRenderedPageBreak/>
              <w:t>4.64</w:t>
            </w:r>
          </w:p>
        </w:tc>
        <w:tc>
          <w:tcPr>
            <w:tcW w:w="4387" w:type="pct"/>
          </w:tcPr>
          <w:p w14:paraId="2EE6A902" w14:textId="31B6BD78" w:rsidR="0016727C" w:rsidRDefault="0016727C" w:rsidP="00FC7AD1">
            <w:pPr>
              <w:spacing w:after="120" w:line="360" w:lineRule="auto"/>
            </w:pPr>
            <w:r w:rsidRPr="00DA6A1D">
              <w:t>On 04</w:t>
            </w:r>
            <w:r>
              <w:t>.04.22</w:t>
            </w:r>
            <w:r w:rsidRPr="00DA6A1D">
              <w:t xml:space="preserve"> </w:t>
            </w:r>
            <w:r>
              <w:t xml:space="preserve">the </w:t>
            </w:r>
            <w:r w:rsidRPr="00DA6A1D">
              <w:t>GP was contacted by the community nurse</w:t>
            </w:r>
            <w:r>
              <w:t xml:space="preserve"> who reported that they had attended Mr M22’s home and that he looked very </w:t>
            </w:r>
            <w:r w:rsidRPr="00DA6A1D">
              <w:t>ill</w:t>
            </w:r>
            <w:r>
              <w:t xml:space="preserve">. He </w:t>
            </w:r>
            <w:r w:rsidRPr="00DA6A1D">
              <w:t xml:space="preserve">was refusing </w:t>
            </w:r>
            <w:r>
              <w:t xml:space="preserve">to have his </w:t>
            </w:r>
            <w:r w:rsidRPr="00DA6A1D">
              <w:t>dressing change</w:t>
            </w:r>
            <w:r>
              <w:t>d</w:t>
            </w:r>
            <w:r w:rsidRPr="00DA6A1D">
              <w:t xml:space="preserve">/wound care and refusing food and water. </w:t>
            </w:r>
            <w:r>
              <w:t xml:space="preserve">The </w:t>
            </w:r>
            <w:r w:rsidRPr="00DA6A1D">
              <w:t xml:space="preserve">GP advised that the community nurse should contact his son </w:t>
            </w:r>
            <w:proofErr w:type="gramStart"/>
            <w:r w:rsidRPr="00DA6A1D">
              <w:t>and also</w:t>
            </w:r>
            <w:proofErr w:type="gramEnd"/>
            <w:r w:rsidRPr="00DA6A1D">
              <w:t xml:space="preserve"> refer to hospital via a 999 ambulance. </w:t>
            </w:r>
          </w:p>
        </w:tc>
      </w:tr>
      <w:tr w:rsidR="0016727C" w14:paraId="0C768445" w14:textId="77777777" w:rsidTr="00425557">
        <w:tc>
          <w:tcPr>
            <w:tcW w:w="613" w:type="pct"/>
          </w:tcPr>
          <w:p w14:paraId="174D83C7" w14:textId="77777777" w:rsidR="0016727C" w:rsidRDefault="0016727C" w:rsidP="00FC7AD1">
            <w:pPr>
              <w:spacing w:after="120" w:line="360" w:lineRule="auto"/>
            </w:pPr>
            <w:r>
              <w:t>4.65</w:t>
            </w:r>
          </w:p>
        </w:tc>
        <w:tc>
          <w:tcPr>
            <w:tcW w:w="4387" w:type="pct"/>
          </w:tcPr>
          <w:p w14:paraId="0B8BC7A4" w14:textId="4A8F8480" w:rsidR="0016727C" w:rsidRPr="00820895" w:rsidRDefault="0016727C" w:rsidP="00FC7AD1">
            <w:pPr>
              <w:spacing w:after="120" w:line="360" w:lineRule="auto"/>
            </w:pPr>
            <w:r>
              <w:rPr>
                <w:rFonts w:cs="Arial"/>
                <w:bCs/>
              </w:rPr>
              <w:t xml:space="preserve">On 08.04.22 </w:t>
            </w:r>
            <w:r w:rsidRPr="00ED411C">
              <w:rPr>
                <w:rFonts w:cs="Arial"/>
                <w:bCs/>
              </w:rPr>
              <w:t>A</w:t>
            </w:r>
            <w:r>
              <w:rPr>
                <w:rFonts w:cs="Arial"/>
                <w:bCs/>
              </w:rPr>
              <w:t xml:space="preserve">dult </w:t>
            </w:r>
            <w:r w:rsidRPr="00ED411C">
              <w:rPr>
                <w:rFonts w:cs="Arial"/>
                <w:bCs/>
              </w:rPr>
              <w:t>I</w:t>
            </w:r>
            <w:r>
              <w:rPr>
                <w:rFonts w:cs="Arial"/>
                <w:bCs/>
              </w:rPr>
              <w:t xml:space="preserve">ntegrated </w:t>
            </w:r>
            <w:r w:rsidRPr="00ED411C">
              <w:rPr>
                <w:rFonts w:cs="Arial"/>
                <w:bCs/>
              </w:rPr>
              <w:t>C</w:t>
            </w:r>
            <w:r>
              <w:rPr>
                <w:rFonts w:cs="Arial"/>
                <w:bCs/>
              </w:rPr>
              <w:t>ar</w:t>
            </w:r>
            <w:r>
              <w:t xml:space="preserve"> attended the address and were unable to gain access or contact Mr M22 or his son. </w:t>
            </w:r>
          </w:p>
        </w:tc>
      </w:tr>
      <w:tr w:rsidR="0016727C" w14:paraId="570A623B" w14:textId="77777777" w:rsidTr="00425557">
        <w:tc>
          <w:tcPr>
            <w:tcW w:w="613" w:type="pct"/>
          </w:tcPr>
          <w:p w14:paraId="39BD0C8E" w14:textId="77777777" w:rsidR="0016727C" w:rsidRDefault="0016727C" w:rsidP="00FC7AD1">
            <w:pPr>
              <w:spacing w:after="120" w:line="360" w:lineRule="auto"/>
            </w:pPr>
            <w:r>
              <w:t>4.66</w:t>
            </w:r>
          </w:p>
        </w:tc>
        <w:tc>
          <w:tcPr>
            <w:tcW w:w="4387" w:type="pct"/>
          </w:tcPr>
          <w:p w14:paraId="61496090" w14:textId="34EF462C" w:rsidR="0016727C" w:rsidRPr="00164FC1" w:rsidRDefault="0016727C" w:rsidP="00FC7AD1">
            <w:pPr>
              <w:spacing w:after="120" w:line="360" w:lineRule="auto"/>
            </w:pPr>
            <w:r w:rsidRPr="00164FC1">
              <w:t>Following a</w:t>
            </w:r>
            <w:r>
              <w:t xml:space="preserve"> 999 call</w:t>
            </w:r>
            <w:r w:rsidRPr="00164FC1">
              <w:t xml:space="preserve"> on </w:t>
            </w:r>
            <w:r>
              <w:t>09.04.</w:t>
            </w:r>
            <w:r w:rsidRPr="00164FC1">
              <w:t>22 by Mr M22’s son, EMAS were dispatched to the home</w:t>
            </w:r>
            <w:r>
              <w:t xml:space="preserve">. There they found Mr M22 to be very poorly and barely responsive and recorded that he weighed 20.4 kg. EMAS then took </w:t>
            </w:r>
            <w:r w:rsidRPr="00164FC1">
              <w:t>Mr M22 to</w:t>
            </w:r>
            <w:r>
              <w:t xml:space="preserve"> hospital</w:t>
            </w:r>
            <w:r w:rsidRPr="00164FC1">
              <w:t xml:space="preserve">. </w:t>
            </w:r>
          </w:p>
        </w:tc>
      </w:tr>
      <w:tr w:rsidR="0016727C" w14:paraId="45F1446E" w14:textId="77777777" w:rsidTr="00425557">
        <w:tc>
          <w:tcPr>
            <w:tcW w:w="613" w:type="pct"/>
          </w:tcPr>
          <w:p w14:paraId="44675D2E" w14:textId="77777777" w:rsidR="0016727C" w:rsidRDefault="0016727C" w:rsidP="00FC7AD1">
            <w:pPr>
              <w:spacing w:after="120" w:line="360" w:lineRule="auto"/>
            </w:pPr>
            <w:r>
              <w:t>4.67</w:t>
            </w:r>
          </w:p>
        </w:tc>
        <w:tc>
          <w:tcPr>
            <w:tcW w:w="4387" w:type="pct"/>
          </w:tcPr>
          <w:p w14:paraId="563935AF" w14:textId="77777777" w:rsidR="0016727C" w:rsidRDefault="0016727C" w:rsidP="00FC7AD1">
            <w:pPr>
              <w:spacing w:after="120" w:line="360" w:lineRule="auto"/>
            </w:pPr>
            <w:r w:rsidRPr="00164FC1">
              <w:t xml:space="preserve">On </w:t>
            </w:r>
            <w:r>
              <w:t>10.04.22</w:t>
            </w:r>
            <w:r w:rsidRPr="00164FC1">
              <w:t xml:space="preserve"> Mr M 22 sadly died in </w:t>
            </w:r>
            <w:r>
              <w:t>Kings Mill Hospital</w:t>
            </w:r>
            <w:r w:rsidRPr="00164FC1">
              <w:t xml:space="preserve">. The coroner subsequently recorded the cause of death </w:t>
            </w:r>
            <w:r>
              <w:t>as being</w:t>
            </w:r>
            <w:r w:rsidRPr="00164FC1">
              <w:t xml:space="preserve"> </w:t>
            </w:r>
            <w:r>
              <w:t>sepsis</w:t>
            </w:r>
            <w:r w:rsidRPr="00164FC1">
              <w:t xml:space="preserve">. </w:t>
            </w:r>
          </w:p>
          <w:p w14:paraId="40BEA613" w14:textId="77777777" w:rsidR="00425557" w:rsidRDefault="00425557" w:rsidP="00FC7AD1">
            <w:pPr>
              <w:spacing w:after="120" w:line="360" w:lineRule="auto"/>
            </w:pPr>
          </w:p>
          <w:p w14:paraId="487830B4" w14:textId="5A63CC57" w:rsidR="00425557" w:rsidRPr="00164FC1" w:rsidRDefault="00425557" w:rsidP="00FC7AD1">
            <w:pPr>
              <w:spacing w:after="120" w:line="360" w:lineRule="auto"/>
            </w:pPr>
          </w:p>
        </w:tc>
      </w:tr>
      <w:tr w:rsidR="0016727C" w14:paraId="434664C5" w14:textId="77777777" w:rsidTr="00425557">
        <w:tc>
          <w:tcPr>
            <w:tcW w:w="613" w:type="pct"/>
          </w:tcPr>
          <w:p w14:paraId="53DAFE09" w14:textId="77777777" w:rsidR="0016727C" w:rsidRPr="000C3AF1" w:rsidRDefault="0016727C" w:rsidP="00FC7AD1">
            <w:pPr>
              <w:spacing w:after="120" w:line="360" w:lineRule="auto"/>
              <w:rPr>
                <w:sz w:val="36"/>
                <w:szCs w:val="36"/>
              </w:rPr>
            </w:pPr>
            <w:r>
              <w:rPr>
                <w:sz w:val="36"/>
                <w:szCs w:val="36"/>
              </w:rPr>
              <w:t>5</w:t>
            </w:r>
          </w:p>
        </w:tc>
        <w:tc>
          <w:tcPr>
            <w:tcW w:w="4387" w:type="pct"/>
          </w:tcPr>
          <w:p w14:paraId="12CFA700" w14:textId="7985DEF0" w:rsidR="0016727C" w:rsidRPr="000C3AF1" w:rsidRDefault="0016727C" w:rsidP="00FC7AD1">
            <w:pPr>
              <w:spacing w:after="120" w:line="360" w:lineRule="auto"/>
              <w:rPr>
                <w:sz w:val="36"/>
                <w:szCs w:val="36"/>
              </w:rPr>
            </w:pPr>
            <w:r w:rsidRPr="000C3AF1">
              <w:rPr>
                <w:sz w:val="36"/>
                <w:szCs w:val="36"/>
              </w:rPr>
              <w:t xml:space="preserve">Summary of </w:t>
            </w:r>
            <w:r w:rsidR="00425557">
              <w:rPr>
                <w:sz w:val="36"/>
                <w:szCs w:val="36"/>
              </w:rPr>
              <w:t>E</w:t>
            </w:r>
            <w:r w:rsidRPr="000C3AF1">
              <w:rPr>
                <w:sz w:val="36"/>
                <w:szCs w:val="36"/>
              </w:rPr>
              <w:t xml:space="preserve">vents and </w:t>
            </w:r>
            <w:r w:rsidR="00425557">
              <w:rPr>
                <w:sz w:val="36"/>
                <w:szCs w:val="36"/>
              </w:rPr>
              <w:t>F</w:t>
            </w:r>
            <w:r w:rsidRPr="000C3AF1">
              <w:rPr>
                <w:sz w:val="36"/>
                <w:szCs w:val="36"/>
              </w:rPr>
              <w:t xml:space="preserve">indings </w:t>
            </w:r>
          </w:p>
        </w:tc>
      </w:tr>
      <w:tr w:rsidR="0016727C" w14:paraId="05D4112B" w14:textId="77777777" w:rsidTr="00425557">
        <w:tc>
          <w:tcPr>
            <w:tcW w:w="613" w:type="pct"/>
          </w:tcPr>
          <w:p w14:paraId="7E94B520" w14:textId="77777777" w:rsidR="0016727C" w:rsidRDefault="0016727C" w:rsidP="00FC7AD1">
            <w:pPr>
              <w:spacing w:after="120" w:line="360" w:lineRule="auto"/>
            </w:pPr>
            <w:r>
              <w:t>5.1</w:t>
            </w:r>
          </w:p>
        </w:tc>
        <w:tc>
          <w:tcPr>
            <w:tcW w:w="4387" w:type="pct"/>
          </w:tcPr>
          <w:p w14:paraId="4BF4B517" w14:textId="286784F9" w:rsidR="0016727C" w:rsidRPr="002014FA" w:rsidRDefault="0016727C" w:rsidP="00FC7AD1">
            <w:pPr>
              <w:spacing w:after="120" w:line="360" w:lineRule="auto"/>
            </w:pPr>
            <w:r w:rsidRPr="002014FA">
              <w:t xml:space="preserve">Having reviewed the chronologies, what is </w:t>
            </w:r>
            <w:r>
              <w:t xml:space="preserve">clearly </w:t>
            </w:r>
            <w:r w:rsidRPr="002014FA">
              <w:t>apparent is th</w:t>
            </w:r>
            <w:r>
              <w:t>at there was a</w:t>
            </w:r>
            <w:r w:rsidRPr="002014FA">
              <w:t xml:space="preserve"> large</w:t>
            </w:r>
            <w:r>
              <w:t xml:space="preserve"> amount of good work</w:t>
            </w:r>
            <w:r w:rsidRPr="002014FA">
              <w:t xml:space="preserve"> taking place to help and support Mr </w:t>
            </w:r>
            <w:r>
              <w:t>M22,</w:t>
            </w:r>
            <w:r w:rsidRPr="002014FA">
              <w:t xml:space="preserve"> from </w:t>
            </w:r>
            <w:proofErr w:type="gramStart"/>
            <w:r w:rsidRPr="002014FA">
              <w:t>a number of</w:t>
            </w:r>
            <w:proofErr w:type="gramEnd"/>
            <w:r w:rsidRPr="002014FA">
              <w:t xml:space="preserve"> different </w:t>
            </w:r>
            <w:r>
              <w:t>agencies</w:t>
            </w:r>
            <w:r w:rsidRPr="002014FA">
              <w:t xml:space="preserve">. </w:t>
            </w:r>
            <w:r>
              <w:t>This activity</w:t>
            </w:r>
            <w:r w:rsidRPr="002014FA">
              <w:t xml:space="preserve"> occurs every day within the care setting and is undoubtedly suc</w:t>
            </w:r>
            <w:r>
              <w:t xml:space="preserve">cessful in </w:t>
            </w:r>
            <w:proofErr w:type="gramStart"/>
            <w:r>
              <w:t>the majority of</w:t>
            </w:r>
            <w:proofErr w:type="gramEnd"/>
            <w:r>
              <w:t xml:space="preserve"> patients</w:t>
            </w:r>
            <w:r w:rsidRPr="002014FA">
              <w:t xml:space="preserve">. </w:t>
            </w:r>
            <w:r>
              <w:t>Clearly</w:t>
            </w:r>
            <w:r w:rsidRPr="002014FA">
              <w:t xml:space="preserve">, the rate of success is greater when the patient is co-operative and a good </w:t>
            </w:r>
            <w:proofErr w:type="gramStart"/>
            <w:r w:rsidRPr="002014FA">
              <w:t>communicator</w:t>
            </w:r>
            <w:r>
              <w:t>,</w:t>
            </w:r>
            <w:r w:rsidRPr="002014FA">
              <w:t xml:space="preserve"> but</w:t>
            </w:r>
            <w:proofErr w:type="gramEnd"/>
            <w:r w:rsidRPr="002014FA">
              <w:t xml:space="preserve"> is less effective </w:t>
            </w:r>
            <w:r>
              <w:t>when they are not as</w:t>
            </w:r>
            <w:r w:rsidRPr="002014FA">
              <w:t xml:space="preserve"> receptive to the offers of support. This then makes the situation more challenging for the professionals involved. </w:t>
            </w:r>
          </w:p>
        </w:tc>
      </w:tr>
      <w:tr w:rsidR="0016727C" w14:paraId="024EC914" w14:textId="77777777" w:rsidTr="00425557">
        <w:tc>
          <w:tcPr>
            <w:tcW w:w="613" w:type="pct"/>
          </w:tcPr>
          <w:p w14:paraId="33A361FC" w14:textId="77777777" w:rsidR="0016727C" w:rsidRDefault="0016727C" w:rsidP="00FC7AD1">
            <w:pPr>
              <w:spacing w:after="120" w:line="360" w:lineRule="auto"/>
            </w:pPr>
            <w:r>
              <w:t>5.2</w:t>
            </w:r>
          </w:p>
        </w:tc>
        <w:tc>
          <w:tcPr>
            <w:tcW w:w="4387" w:type="pct"/>
          </w:tcPr>
          <w:p w14:paraId="04A32854" w14:textId="2664FE01" w:rsidR="0016727C" w:rsidRPr="002014FA" w:rsidRDefault="0016727C" w:rsidP="00FC7AD1">
            <w:pPr>
              <w:spacing w:after="120" w:line="360" w:lineRule="auto"/>
            </w:pPr>
            <w:r>
              <w:t xml:space="preserve">From both the laypersons and professionals’ perspective an obvious question to ask would be, who is co-ordinating and leading </w:t>
            </w:r>
            <w:proofErr w:type="gramStart"/>
            <w:r>
              <w:t>all of</w:t>
            </w:r>
            <w:proofErr w:type="gramEnd"/>
            <w:r>
              <w:t xml:space="preserve"> this activity? The hospital wards have a responsibility to ensure that information is passed onto community services, including district nurse and community Occupational Health and Physiotherapy, and again </w:t>
            </w:r>
            <w:proofErr w:type="gramStart"/>
            <w:r>
              <w:t>on the whole</w:t>
            </w:r>
            <w:proofErr w:type="gramEnd"/>
            <w:r>
              <w:t xml:space="preserve"> this system works well. However, it only requires one small breakdown in communication, or a lack of </w:t>
            </w:r>
            <w:r>
              <w:lastRenderedPageBreak/>
              <w:t xml:space="preserve">grip and a vulnerable person could easily fall through the net. This appears to be what happened with Mr M22. </w:t>
            </w:r>
          </w:p>
        </w:tc>
      </w:tr>
      <w:tr w:rsidR="0016727C" w14:paraId="36994C74" w14:textId="77777777" w:rsidTr="00425557">
        <w:tc>
          <w:tcPr>
            <w:tcW w:w="613" w:type="pct"/>
          </w:tcPr>
          <w:p w14:paraId="2384BE56" w14:textId="77777777" w:rsidR="0016727C" w:rsidRDefault="0016727C" w:rsidP="00FC7AD1">
            <w:pPr>
              <w:spacing w:after="120" w:line="360" w:lineRule="auto"/>
            </w:pPr>
            <w:r>
              <w:lastRenderedPageBreak/>
              <w:t>5.3</w:t>
            </w:r>
          </w:p>
        </w:tc>
        <w:tc>
          <w:tcPr>
            <w:tcW w:w="4387" w:type="pct"/>
          </w:tcPr>
          <w:p w14:paraId="69A6946F" w14:textId="0B713306" w:rsidR="0016727C" w:rsidRDefault="0016727C" w:rsidP="00FC7AD1">
            <w:pPr>
              <w:spacing w:after="120" w:line="360" w:lineRule="auto"/>
            </w:pPr>
            <w:r>
              <w:t xml:space="preserve">A summary of findings for each of the key themes identified is outlined below. </w:t>
            </w:r>
          </w:p>
        </w:tc>
      </w:tr>
      <w:tr w:rsidR="0016727C" w14:paraId="258C8F81" w14:textId="77777777" w:rsidTr="00425557">
        <w:tc>
          <w:tcPr>
            <w:tcW w:w="613" w:type="pct"/>
          </w:tcPr>
          <w:p w14:paraId="3216C7B9" w14:textId="77777777" w:rsidR="0016727C" w:rsidRDefault="0016727C" w:rsidP="00FC7AD1">
            <w:pPr>
              <w:spacing w:after="120" w:line="360" w:lineRule="auto"/>
            </w:pPr>
            <w:r>
              <w:t>5.4</w:t>
            </w:r>
          </w:p>
        </w:tc>
        <w:tc>
          <w:tcPr>
            <w:tcW w:w="4387" w:type="pct"/>
          </w:tcPr>
          <w:p w14:paraId="18CDADAD" w14:textId="10BF2BAC" w:rsidR="0016727C" w:rsidRPr="00FC7AD1" w:rsidRDefault="0016727C" w:rsidP="00FC7AD1">
            <w:pPr>
              <w:spacing w:after="120" w:line="360" w:lineRule="auto"/>
              <w:rPr>
                <w:rFonts w:ascii="Calibri" w:hAnsi="Calibri" w:cs="Calibri"/>
                <w:b/>
                <w:bCs/>
                <w:sz w:val="28"/>
                <w:szCs w:val="28"/>
                <w:u w:val="single"/>
              </w:rPr>
            </w:pPr>
            <w:r w:rsidRPr="00B771F0">
              <w:rPr>
                <w:rFonts w:ascii="Calibri" w:hAnsi="Calibri" w:cs="Calibri"/>
                <w:b/>
                <w:bCs/>
                <w:sz w:val="28"/>
                <w:szCs w:val="28"/>
                <w:u w:val="single"/>
              </w:rPr>
              <w:t>Partnership working</w:t>
            </w:r>
          </w:p>
        </w:tc>
      </w:tr>
      <w:tr w:rsidR="0016727C" w14:paraId="12ACC5AF" w14:textId="77777777" w:rsidTr="00425557">
        <w:tc>
          <w:tcPr>
            <w:tcW w:w="613" w:type="pct"/>
          </w:tcPr>
          <w:p w14:paraId="1C6A108C" w14:textId="77777777" w:rsidR="0016727C" w:rsidRDefault="0016727C" w:rsidP="00FC7AD1">
            <w:pPr>
              <w:spacing w:after="120" w:line="360" w:lineRule="auto"/>
            </w:pPr>
            <w:r>
              <w:t>5.5</w:t>
            </w:r>
          </w:p>
        </w:tc>
        <w:tc>
          <w:tcPr>
            <w:tcW w:w="4387" w:type="pct"/>
          </w:tcPr>
          <w:p w14:paraId="045A2E3E" w14:textId="10FB2BB2" w:rsidR="0016727C" w:rsidRPr="002014FA" w:rsidRDefault="0016727C" w:rsidP="00FC7AD1">
            <w:pPr>
              <w:spacing w:after="120" w:line="360" w:lineRule="auto"/>
            </w:pPr>
            <w:r>
              <w:t>What became apparent during this review is the fact that there is no single department that co-ordinates this system of partnership/multi agency working. The system is reliant upon hospital/acute staff passing on referrals to the right community service, who then implement their activity. If this is not done correctly there is the risk that the community service is unaware that they need to provide care/support to a patient within their area. This can lead to vulnerable patients lacking the necessary support. In addition, acute services do not automatically notify the community services when a patient is admitted to hospital.</w:t>
            </w:r>
          </w:p>
        </w:tc>
      </w:tr>
      <w:tr w:rsidR="0016727C" w14:paraId="7805CDC7" w14:textId="77777777" w:rsidTr="00425557">
        <w:tc>
          <w:tcPr>
            <w:tcW w:w="613" w:type="pct"/>
          </w:tcPr>
          <w:p w14:paraId="09289728" w14:textId="77777777" w:rsidR="0016727C" w:rsidRDefault="0016727C" w:rsidP="00FC7AD1">
            <w:pPr>
              <w:spacing w:after="120" w:line="360" w:lineRule="auto"/>
            </w:pPr>
            <w:r>
              <w:t>5.6</w:t>
            </w:r>
          </w:p>
        </w:tc>
        <w:tc>
          <w:tcPr>
            <w:tcW w:w="4387" w:type="pct"/>
          </w:tcPr>
          <w:p w14:paraId="0686AF75" w14:textId="0EC806B6" w:rsidR="0016727C" w:rsidRDefault="0016727C" w:rsidP="00FC7AD1">
            <w:pPr>
              <w:spacing w:after="120" w:line="360" w:lineRule="auto"/>
            </w:pPr>
            <w:r>
              <w:t xml:space="preserve">This was made even more evident </w:t>
            </w:r>
            <w:proofErr w:type="gramStart"/>
            <w:r>
              <w:t>during the course of</w:t>
            </w:r>
            <w:proofErr w:type="gramEnd"/>
            <w:r>
              <w:t xml:space="preserve"> the practitioners learning event, when one participant stated that they had not realised that many of the different agencies gathered for the event had been involved in the care of Mr M22. </w:t>
            </w:r>
          </w:p>
        </w:tc>
      </w:tr>
      <w:tr w:rsidR="0016727C" w14:paraId="4AB8A47E" w14:textId="77777777" w:rsidTr="00425557">
        <w:tc>
          <w:tcPr>
            <w:tcW w:w="613" w:type="pct"/>
          </w:tcPr>
          <w:p w14:paraId="11B446EE" w14:textId="77777777" w:rsidR="0016727C" w:rsidRDefault="0016727C" w:rsidP="00FC7AD1">
            <w:pPr>
              <w:spacing w:after="120" w:line="360" w:lineRule="auto"/>
            </w:pPr>
            <w:r>
              <w:t>5.7</w:t>
            </w:r>
          </w:p>
        </w:tc>
        <w:tc>
          <w:tcPr>
            <w:tcW w:w="4387" w:type="pct"/>
          </w:tcPr>
          <w:p w14:paraId="60201AFF" w14:textId="1D380F5C" w:rsidR="0016727C" w:rsidRDefault="0016727C" w:rsidP="00FC7AD1">
            <w:pPr>
              <w:spacing w:after="120" w:line="360" w:lineRule="auto"/>
            </w:pPr>
            <w:r>
              <w:t xml:space="preserve">The ideal solution would involve a single point of contact to co-ordinate </w:t>
            </w:r>
            <w:proofErr w:type="gramStart"/>
            <w:r>
              <w:t>all of</w:t>
            </w:r>
            <w:proofErr w:type="gramEnd"/>
            <w:r>
              <w:t xml:space="preserve"> the community and hospital services. This would appear to fall within the remit of the </w:t>
            </w:r>
            <w:proofErr w:type="gramStart"/>
            <w:r>
              <w:t>GP</w:t>
            </w:r>
            <w:proofErr w:type="gramEnd"/>
            <w:r>
              <w:t xml:space="preserve"> and it was noted from the records that a great deal of the regular co-ordination did appear to go through the GP surgery. </w:t>
            </w:r>
            <w:proofErr w:type="gramStart"/>
            <w:r>
              <w:t>On the whole</w:t>
            </w:r>
            <w:proofErr w:type="gramEnd"/>
            <w:r>
              <w:t xml:space="preserve"> this appeared to be successful, but it became clear from examination of the timelines that the GPs often had to make frequent attempts to get in contact with Mr M22 and he did not answer his phone, or respond to messages, for long periods of time. </w:t>
            </w:r>
          </w:p>
        </w:tc>
      </w:tr>
      <w:tr w:rsidR="0016727C" w14:paraId="1AF3DBD3" w14:textId="77777777" w:rsidTr="00425557">
        <w:tc>
          <w:tcPr>
            <w:tcW w:w="613" w:type="pct"/>
          </w:tcPr>
          <w:p w14:paraId="288B5948" w14:textId="77777777" w:rsidR="0016727C" w:rsidRDefault="0016727C" w:rsidP="00FC7AD1">
            <w:pPr>
              <w:spacing w:after="120" w:line="360" w:lineRule="auto"/>
            </w:pPr>
            <w:r>
              <w:t>5.8</w:t>
            </w:r>
          </w:p>
        </w:tc>
        <w:tc>
          <w:tcPr>
            <w:tcW w:w="4387" w:type="pct"/>
          </w:tcPr>
          <w:p w14:paraId="0D9B540B" w14:textId="0AB1FEE3" w:rsidR="0016727C" w:rsidRPr="00FC7AD1" w:rsidRDefault="0016727C" w:rsidP="00FC7AD1">
            <w:pPr>
              <w:spacing w:after="120" w:line="360" w:lineRule="auto"/>
              <w:rPr>
                <w:color w:val="FF0000"/>
              </w:rPr>
            </w:pPr>
            <w:r>
              <w:t xml:space="preserve">A specialist Single Point of Contact team could be created to co-ordinate this </w:t>
            </w:r>
            <w:proofErr w:type="gramStart"/>
            <w:r>
              <w:t>activity,</w:t>
            </w:r>
            <w:proofErr w:type="gramEnd"/>
            <w:r>
              <w:t xml:space="preserve"> however it is accepted that this would be very difficult to arrange and ultimately constrained by budgetary considerations. </w:t>
            </w:r>
          </w:p>
        </w:tc>
      </w:tr>
      <w:tr w:rsidR="0016727C" w14:paraId="71554B5D" w14:textId="77777777" w:rsidTr="00425557">
        <w:tc>
          <w:tcPr>
            <w:tcW w:w="613" w:type="pct"/>
          </w:tcPr>
          <w:p w14:paraId="1844FF7A" w14:textId="77777777" w:rsidR="0016727C" w:rsidRDefault="0016727C" w:rsidP="00FC7AD1">
            <w:pPr>
              <w:spacing w:after="120" w:line="360" w:lineRule="auto"/>
            </w:pPr>
            <w:r>
              <w:t>5.9</w:t>
            </w:r>
          </w:p>
        </w:tc>
        <w:tc>
          <w:tcPr>
            <w:tcW w:w="4387" w:type="pct"/>
          </w:tcPr>
          <w:p w14:paraId="50233280" w14:textId="698C025C" w:rsidR="0016727C" w:rsidRPr="00FC7AD1" w:rsidRDefault="0016727C" w:rsidP="00FC7AD1">
            <w:pPr>
              <w:spacing w:after="120" w:line="360" w:lineRule="auto"/>
              <w:rPr>
                <w:b/>
                <w:bCs/>
                <w:sz w:val="28"/>
                <w:szCs w:val="28"/>
                <w:u w:val="single"/>
              </w:rPr>
            </w:pPr>
            <w:r w:rsidRPr="003C6A87">
              <w:rPr>
                <w:b/>
                <w:bCs/>
                <w:sz w:val="28"/>
                <w:szCs w:val="28"/>
                <w:u w:val="single"/>
              </w:rPr>
              <w:t>Supervision/Support to staff</w:t>
            </w:r>
          </w:p>
        </w:tc>
      </w:tr>
      <w:tr w:rsidR="0016727C" w14:paraId="325F45D7" w14:textId="77777777" w:rsidTr="00425557">
        <w:tc>
          <w:tcPr>
            <w:tcW w:w="613" w:type="pct"/>
          </w:tcPr>
          <w:p w14:paraId="70391A14" w14:textId="77777777" w:rsidR="0016727C" w:rsidRDefault="0016727C" w:rsidP="00FC7AD1">
            <w:pPr>
              <w:spacing w:after="120" w:line="360" w:lineRule="auto"/>
            </w:pPr>
            <w:r>
              <w:lastRenderedPageBreak/>
              <w:t>5.10</w:t>
            </w:r>
          </w:p>
        </w:tc>
        <w:tc>
          <w:tcPr>
            <w:tcW w:w="4387" w:type="pct"/>
          </w:tcPr>
          <w:p w14:paraId="7B70D318" w14:textId="3B437098" w:rsidR="0016727C" w:rsidRPr="00FC7AD1" w:rsidRDefault="0016727C" w:rsidP="00FC7AD1">
            <w:pPr>
              <w:pStyle w:val="NormalWeb"/>
              <w:spacing w:before="0" w:beforeAutospacing="0" w:after="120" w:afterAutospacing="0" w:line="360" w:lineRule="auto"/>
              <w:rPr>
                <w:rFonts w:asciiTheme="minorHAnsi" w:hAnsiTheme="minorHAnsi" w:cs="Calibri"/>
              </w:rPr>
            </w:pPr>
            <w:r>
              <w:rPr>
                <w:rFonts w:asciiTheme="minorHAnsi" w:hAnsiTheme="minorHAnsi" w:cs="Calibri"/>
              </w:rPr>
              <w:t>T</w:t>
            </w:r>
            <w:r w:rsidRPr="00A725FD">
              <w:rPr>
                <w:rFonts w:asciiTheme="minorHAnsi" w:hAnsiTheme="minorHAnsi" w:cs="Calibri"/>
              </w:rPr>
              <w:t xml:space="preserve">he level of supervision and support </w:t>
            </w:r>
            <w:r>
              <w:rPr>
                <w:rFonts w:asciiTheme="minorHAnsi" w:hAnsiTheme="minorHAnsi" w:cs="Calibri"/>
              </w:rPr>
              <w:t>given to</w:t>
            </w:r>
            <w:r w:rsidRPr="00A725FD">
              <w:rPr>
                <w:rFonts w:asciiTheme="minorHAnsi" w:hAnsiTheme="minorHAnsi" w:cs="Calibri"/>
              </w:rPr>
              <w:t xml:space="preserve"> staff </w:t>
            </w:r>
            <w:r>
              <w:rPr>
                <w:rFonts w:asciiTheme="minorHAnsi" w:hAnsiTheme="minorHAnsi" w:cs="Calibri"/>
              </w:rPr>
              <w:t>should be commensurate with the</w:t>
            </w:r>
            <w:r w:rsidRPr="00A725FD">
              <w:rPr>
                <w:rFonts w:asciiTheme="minorHAnsi" w:hAnsiTheme="minorHAnsi" w:cs="Calibri"/>
              </w:rPr>
              <w:t xml:space="preserve"> type of work </w:t>
            </w:r>
            <w:r>
              <w:rPr>
                <w:rFonts w:asciiTheme="minorHAnsi" w:hAnsiTheme="minorHAnsi" w:cs="Calibri"/>
              </w:rPr>
              <w:t xml:space="preserve">being undertaken when considered against the experience and quality of the staff involved. </w:t>
            </w:r>
          </w:p>
        </w:tc>
      </w:tr>
      <w:tr w:rsidR="0016727C" w14:paraId="388A88ED" w14:textId="77777777" w:rsidTr="00425557">
        <w:tc>
          <w:tcPr>
            <w:tcW w:w="613" w:type="pct"/>
          </w:tcPr>
          <w:p w14:paraId="0C072858" w14:textId="77777777" w:rsidR="0016727C" w:rsidRDefault="0016727C" w:rsidP="00FC7AD1">
            <w:pPr>
              <w:spacing w:after="120" w:line="360" w:lineRule="auto"/>
            </w:pPr>
            <w:r>
              <w:t>5.11</w:t>
            </w:r>
          </w:p>
        </w:tc>
        <w:tc>
          <w:tcPr>
            <w:tcW w:w="4387" w:type="pct"/>
          </w:tcPr>
          <w:p w14:paraId="5C976F02" w14:textId="254343A6" w:rsidR="0016727C" w:rsidRPr="00A725FD" w:rsidRDefault="0016727C" w:rsidP="00FC7AD1">
            <w:pPr>
              <w:spacing w:after="120" w:line="360" w:lineRule="auto"/>
              <w:rPr>
                <w:rFonts w:cs="Calibri"/>
              </w:rPr>
            </w:pPr>
            <w:r w:rsidRPr="00693318">
              <w:rPr>
                <w:rFonts w:cs="Calibri"/>
              </w:rPr>
              <w:t xml:space="preserve">A very good </w:t>
            </w:r>
            <w:r>
              <w:rPr>
                <w:rFonts w:cs="Calibri"/>
              </w:rPr>
              <w:t>post incident review was completed by one of the service managers,</w:t>
            </w:r>
            <w:r w:rsidRPr="00693318">
              <w:rPr>
                <w:rFonts w:cs="Calibri"/>
              </w:rPr>
              <w:t xml:space="preserve"> which assessed and evaluated the contact between Mr M22 and </w:t>
            </w:r>
            <w:r>
              <w:rPr>
                <w:rFonts w:cs="Calibri"/>
              </w:rPr>
              <w:t xml:space="preserve">community </w:t>
            </w:r>
            <w:r w:rsidRPr="00693318">
              <w:rPr>
                <w:rFonts w:cs="Calibri"/>
              </w:rPr>
              <w:t>staff</w:t>
            </w:r>
            <w:r>
              <w:rPr>
                <w:rFonts w:cs="Calibri"/>
              </w:rPr>
              <w:t xml:space="preserve"> prior to his death</w:t>
            </w:r>
            <w:r w:rsidRPr="00693318">
              <w:rPr>
                <w:rFonts w:cs="Calibri"/>
              </w:rPr>
              <w:t xml:space="preserve">. </w:t>
            </w:r>
          </w:p>
        </w:tc>
      </w:tr>
      <w:tr w:rsidR="0016727C" w14:paraId="61B75BB8" w14:textId="77777777" w:rsidTr="00425557">
        <w:tc>
          <w:tcPr>
            <w:tcW w:w="613" w:type="pct"/>
          </w:tcPr>
          <w:p w14:paraId="35B3C6D6" w14:textId="77777777" w:rsidR="0016727C" w:rsidRDefault="0016727C" w:rsidP="00FC7AD1">
            <w:pPr>
              <w:spacing w:after="120" w:line="360" w:lineRule="auto"/>
            </w:pPr>
            <w:r>
              <w:t>5.12</w:t>
            </w:r>
          </w:p>
        </w:tc>
        <w:tc>
          <w:tcPr>
            <w:tcW w:w="4387" w:type="pct"/>
          </w:tcPr>
          <w:p w14:paraId="427A1D00" w14:textId="2086F546" w:rsidR="0016727C" w:rsidRPr="00A725FD" w:rsidRDefault="0016727C" w:rsidP="00FC7AD1">
            <w:pPr>
              <w:spacing w:after="120" w:line="360" w:lineRule="auto"/>
              <w:rPr>
                <w:rFonts w:cs="Calibri"/>
              </w:rPr>
            </w:pPr>
            <w:r>
              <w:rPr>
                <w:rFonts w:cs="Calibri"/>
              </w:rPr>
              <w:t>The report identified that there had been some good multi agency working that had taken place, but also that there were some m</w:t>
            </w:r>
            <w:r w:rsidRPr="00693318">
              <w:rPr>
                <w:rFonts w:cs="Calibri"/>
              </w:rPr>
              <w:t xml:space="preserve">issed opportunities to engage. </w:t>
            </w:r>
            <w:r>
              <w:rPr>
                <w:rFonts w:cs="Calibri"/>
              </w:rPr>
              <w:t xml:space="preserve">A question that was raised was whether this was </w:t>
            </w:r>
            <w:proofErr w:type="gramStart"/>
            <w:r>
              <w:rPr>
                <w:rFonts w:cs="Calibri"/>
              </w:rPr>
              <w:t>as a result of</w:t>
            </w:r>
            <w:proofErr w:type="gramEnd"/>
            <w:r w:rsidRPr="00693318">
              <w:rPr>
                <w:rFonts w:cs="Calibri"/>
              </w:rPr>
              <w:t xml:space="preserve"> staff being </w:t>
            </w:r>
            <w:r>
              <w:rPr>
                <w:rFonts w:cs="Calibri"/>
              </w:rPr>
              <w:t xml:space="preserve">too </w:t>
            </w:r>
            <w:r w:rsidRPr="00693318">
              <w:rPr>
                <w:rFonts w:cs="Calibri"/>
              </w:rPr>
              <w:t>‘</w:t>
            </w:r>
            <w:r w:rsidRPr="001B4A86">
              <w:rPr>
                <w:rFonts w:cs="Calibri"/>
                <w:i/>
                <w:iCs/>
              </w:rPr>
              <w:t>task orientated’</w:t>
            </w:r>
            <w:r w:rsidRPr="00693318">
              <w:rPr>
                <w:rFonts w:cs="Calibri"/>
              </w:rPr>
              <w:t xml:space="preserve">. </w:t>
            </w:r>
            <w:r>
              <w:rPr>
                <w:rFonts w:cs="Calibri"/>
              </w:rPr>
              <w:t>In addition, it was observed that</w:t>
            </w:r>
            <w:r w:rsidRPr="00693318">
              <w:rPr>
                <w:rFonts w:cs="Calibri"/>
              </w:rPr>
              <w:t xml:space="preserve"> time constraints and staffing levels </w:t>
            </w:r>
            <w:r>
              <w:rPr>
                <w:rFonts w:cs="Calibri"/>
              </w:rPr>
              <w:t>also have an impact</w:t>
            </w:r>
            <w:r w:rsidRPr="00693318">
              <w:rPr>
                <w:rFonts w:cs="Calibri"/>
              </w:rPr>
              <w:t xml:space="preserve"> </w:t>
            </w:r>
            <w:r>
              <w:rPr>
                <w:rFonts w:cs="Calibri"/>
              </w:rPr>
              <w:t>upon</w:t>
            </w:r>
            <w:r w:rsidRPr="00693318">
              <w:rPr>
                <w:rFonts w:cs="Calibri"/>
              </w:rPr>
              <w:t xml:space="preserve"> the quality of care provided. </w:t>
            </w:r>
          </w:p>
        </w:tc>
      </w:tr>
      <w:tr w:rsidR="0016727C" w14:paraId="2880953F" w14:textId="77777777" w:rsidTr="00425557">
        <w:tc>
          <w:tcPr>
            <w:tcW w:w="613" w:type="pct"/>
          </w:tcPr>
          <w:p w14:paraId="52469010" w14:textId="77777777" w:rsidR="0016727C" w:rsidRDefault="0016727C" w:rsidP="00FC7AD1">
            <w:pPr>
              <w:spacing w:after="120" w:line="360" w:lineRule="auto"/>
            </w:pPr>
            <w:r>
              <w:t>5.13</w:t>
            </w:r>
          </w:p>
        </w:tc>
        <w:tc>
          <w:tcPr>
            <w:tcW w:w="4387" w:type="pct"/>
          </w:tcPr>
          <w:p w14:paraId="55DD5E89" w14:textId="747C3A38" w:rsidR="0016727C" w:rsidRPr="00FC7AD1" w:rsidRDefault="0016727C" w:rsidP="00FC7AD1">
            <w:pPr>
              <w:spacing w:after="120" w:line="360" w:lineRule="auto"/>
              <w:rPr>
                <w:rFonts w:cs="Segoe UI"/>
                <w:b/>
                <w:bCs/>
                <w:color w:val="000000"/>
              </w:rPr>
            </w:pPr>
            <w:r w:rsidRPr="00076A69">
              <w:rPr>
                <w:rFonts w:cs="Segoe UI"/>
                <w:color w:val="000000"/>
              </w:rPr>
              <w:t>Practitioners from the community nursing team shared at the learning event that the level of staffing during the period under review was at a ‘critically low level’ and had been for some time. However, despite this Mr M22 did not have a missed visit appointment or deferred appointment. Staff shortages were, and remain, on the Trust’s Risk Register.</w:t>
            </w:r>
          </w:p>
        </w:tc>
      </w:tr>
      <w:tr w:rsidR="0016727C" w14:paraId="7FABE636" w14:textId="77777777" w:rsidTr="00425557">
        <w:tc>
          <w:tcPr>
            <w:tcW w:w="613" w:type="pct"/>
          </w:tcPr>
          <w:p w14:paraId="67EA65CE" w14:textId="77777777" w:rsidR="0016727C" w:rsidRDefault="0016727C" w:rsidP="00FC7AD1">
            <w:pPr>
              <w:spacing w:after="120" w:line="360" w:lineRule="auto"/>
            </w:pPr>
            <w:r>
              <w:t>5.14</w:t>
            </w:r>
          </w:p>
        </w:tc>
        <w:tc>
          <w:tcPr>
            <w:tcW w:w="4387" w:type="pct"/>
          </w:tcPr>
          <w:p w14:paraId="7876C68C" w14:textId="5CD27499" w:rsidR="0016727C" w:rsidRDefault="0016727C" w:rsidP="00FC7AD1">
            <w:pPr>
              <w:spacing w:after="120" w:line="360" w:lineRule="auto"/>
              <w:rPr>
                <w:rFonts w:cs="Calibri"/>
              </w:rPr>
            </w:pPr>
            <w:r w:rsidRPr="00693318">
              <w:rPr>
                <w:rFonts w:cs="Calibri"/>
              </w:rPr>
              <w:t xml:space="preserve">A lack of consistency will undoubtedly impact upon the quality of the outcomes. Staff who form a relationship with patients over </w:t>
            </w:r>
            <w:proofErr w:type="gramStart"/>
            <w:r w:rsidRPr="00693318">
              <w:rPr>
                <w:rFonts w:cs="Calibri"/>
              </w:rPr>
              <w:t>a period of time</w:t>
            </w:r>
            <w:proofErr w:type="gramEnd"/>
            <w:r w:rsidRPr="00693318">
              <w:rPr>
                <w:rFonts w:cs="Calibri"/>
              </w:rPr>
              <w:t xml:space="preserve"> are better placed to assess their wellbeing than those who are backfilling vacancies or are agency or bank staff. </w:t>
            </w:r>
          </w:p>
        </w:tc>
      </w:tr>
      <w:tr w:rsidR="0016727C" w14:paraId="14017E29" w14:textId="77777777" w:rsidTr="00425557">
        <w:tc>
          <w:tcPr>
            <w:tcW w:w="613" w:type="pct"/>
          </w:tcPr>
          <w:p w14:paraId="00ABA17A" w14:textId="77777777" w:rsidR="0016727C" w:rsidRPr="00DB6770" w:rsidRDefault="0016727C" w:rsidP="00FC7AD1">
            <w:pPr>
              <w:spacing w:after="120" w:line="360" w:lineRule="auto"/>
            </w:pPr>
            <w:r>
              <w:t>5.15</w:t>
            </w:r>
          </w:p>
          <w:p w14:paraId="535E8289" w14:textId="77777777" w:rsidR="0016727C" w:rsidRDefault="0016727C" w:rsidP="00FC7AD1">
            <w:pPr>
              <w:spacing w:after="120" w:line="360" w:lineRule="auto"/>
            </w:pPr>
          </w:p>
        </w:tc>
        <w:tc>
          <w:tcPr>
            <w:tcW w:w="4387" w:type="pct"/>
          </w:tcPr>
          <w:p w14:paraId="2625D24C" w14:textId="10CFEDF9" w:rsidR="0016727C" w:rsidRPr="00FC7AD1" w:rsidRDefault="0016727C" w:rsidP="00FC7AD1">
            <w:pPr>
              <w:spacing w:after="120" w:line="360" w:lineRule="auto"/>
              <w:rPr>
                <w:rFonts w:cs="Segoe UI"/>
                <w:color w:val="000000"/>
              </w:rPr>
            </w:pPr>
            <w:r w:rsidRPr="00DD6686">
              <w:rPr>
                <w:rFonts w:cs="Segoe UI"/>
                <w:color w:val="000000"/>
              </w:rPr>
              <w:t>When staff are working under pressure and there is a lack of consistency in worker due to staffing challenges this may impact their ability to see the wider picture and identify issues such as self-neglec</w:t>
            </w:r>
            <w:r>
              <w:rPr>
                <w:rFonts w:cs="Segoe UI"/>
                <w:color w:val="000000"/>
              </w:rPr>
              <w:t xml:space="preserve">t. </w:t>
            </w:r>
          </w:p>
        </w:tc>
      </w:tr>
      <w:tr w:rsidR="0016727C" w14:paraId="4D0AD6D4" w14:textId="77777777" w:rsidTr="00425557">
        <w:tc>
          <w:tcPr>
            <w:tcW w:w="613" w:type="pct"/>
          </w:tcPr>
          <w:p w14:paraId="1851A87D" w14:textId="77777777" w:rsidR="0016727C" w:rsidRDefault="0016727C" w:rsidP="00FC7AD1">
            <w:pPr>
              <w:spacing w:after="120" w:line="360" w:lineRule="auto"/>
            </w:pPr>
            <w:r>
              <w:t>5.16</w:t>
            </w:r>
          </w:p>
        </w:tc>
        <w:tc>
          <w:tcPr>
            <w:tcW w:w="4387" w:type="pct"/>
          </w:tcPr>
          <w:p w14:paraId="5AD8DFB4" w14:textId="13E91B83" w:rsidR="0016727C" w:rsidRPr="00FC7AD1" w:rsidRDefault="0016727C" w:rsidP="00FC7AD1">
            <w:pPr>
              <w:spacing w:after="120" w:line="360" w:lineRule="auto"/>
              <w:rPr>
                <w:b/>
                <w:bCs/>
                <w:sz w:val="28"/>
                <w:szCs w:val="28"/>
                <w:u w:val="single"/>
              </w:rPr>
            </w:pPr>
            <w:proofErr w:type="spellStart"/>
            <w:r w:rsidRPr="003C6A87">
              <w:rPr>
                <w:b/>
                <w:bCs/>
                <w:sz w:val="28"/>
                <w:szCs w:val="28"/>
                <w:u w:val="single"/>
              </w:rPr>
              <w:t>Self neglect</w:t>
            </w:r>
            <w:proofErr w:type="spellEnd"/>
            <w:r w:rsidRPr="003C6A87">
              <w:rPr>
                <w:b/>
                <w:bCs/>
                <w:sz w:val="28"/>
                <w:szCs w:val="28"/>
                <w:u w:val="single"/>
              </w:rPr>
              <w:t xml:space="preserve"> </w:t>
            </w:r>
          </w:p>
        </w:tc>
      </w:tr>
      <w:tr w:rsidR="0016727C" w14:paraId="0445ACD2" w14:textId="77777777" w:rsidTr="00425557">
        <w:tc>
          <w:tcPr>
            <w:tcW w:w="613" w:type="pct"/>
          </w:tcPr>
          <w:p w14:paraId="33E06612" w14:textId="77777777" w:rsidR="0016727C" w:rsidRDefault="0016727C" w:rsidP="00FC7AD1">
            <w:pPr>
              <w:spacing w:after="120" w:line="360" w:lineRule="auto"/>
            </w:pPr>
            <w:r>
              <w:t>5.17</w:t>
            </w:r>
          </w:p>
        </w:tc>
        <w:tc>
          <w:tcPr>
            <w:tcW w:w="4387" w:type="pct"/>
          </w:tcPr>
          <w:p w14:paraId="3FC50460" w14:textId="70D130F3" w:rsidR="0016727C" w:rsidRPr="00C40735" w:rsidRDefault="0016727C" w:rsidP="00FC7AD1">
            <w:pPr>
              <w:spacing w:after="120" w:line="360" w:lineRule="auto"/>
            </w:pPr>
            <w:r w:rsidRPr="00C40735">
              <w:t>Clearly Mr M22 had complex medical needs. In addition, there seems to be clear evidence to suggest that he was suffering at times from possible sepsis/infections</w:t>
            </w:r>
            <w:r>
              <w:t>. A</w:t>
            </w:r>
            <w:r w:rsidRPr="00C40735">
              <w:t>n obvious question that arises from that is</w:t>
            </w:r>
            <w:r>
              <w:t>,</w:t>
            </w:r>
            <w:r w:rsidRPr="00C40735">
              <w:t xml:space="preserve"> did this level of infection result in any form of mental impairment /delirium</w:t>
            </w:r>
            <w:r>
              <w:t xml:space="preserve"> which may have impacted upon his ability to make decisions?</w:t>
            </w:r>
            <w:r w:rsidRPr="00C40735">
              <w:t xml:space="preserve"> </w:t>
            </w:r>
          </w:p>
        </w:tc>
      </w:tr>
      <w:tr w:rsidR="0016727C" w14:paraId="690783BC" w14:textId="77777777" w:rsidTr="00425557">
        <w:tc>
          <w:tcPr>
            <w:tcW w:w="613" w:type="pct"/>
          </w:tcPr>
          <w:p w14:paraId="0003B4E2" w14:textId="77777777" w:rsidR="0016727C" w:rsidRDefault="0016727C" w:rsidP="00FC7AD1">
            <w:pPr>
              <w:spacing w:after="120" w:line="360" w:lineRule="auto"/>
            </w:pPr>
            <w:r>
              <w:lastRenderedPageBreak/>
              <w:t>5.18</w:t>
            </w:r>
          </w:p>
        </w:tc>
        <w:tc>
          <w:tcPr>
            <w:tcW w:w="4387" w:type="pct"/>
          </w:tcPr>
          <w:p w14:paraId="6CED5CA1" w14:textId="244FDB9B" w:rsidR="0016727C" w:rsidRPr="00C40735" w:rsidRDefault="0016727C" w:rsidP="00FC7AD1">
            <w:pPr>
              <w:spacing w:after="120" w:line="360" w:lineRule="auto"/>
            </w:pPr>
            <w:r w:rsidRPr="00C40735">
              <w:t>There is nothing within the material supplied to the author to suggest that this was the case</w:t>
            </w:r>
            <w:r>
              <w:t>,</w:t>
            </w:r>
            <w:r w:rsidRPr="00C40735">
              <w:t xml:space="preserve"> but there were also occasions where Mr M22 refused treatment (admission at A&amp;E) </w:t>
            </w:r>
            <w:proofErr w:type="gramStart"/>
            <w:r w:rsidRPr="00C40735">
              <w:t>and also</w:t>
            </w:r>
            <w:proofErr w:type="gramEnd"/>
            <w:r w:rsidRPr="00C40735">
              <w:t xml:space="preserve"> refused to have dressings changed, when clearly there would have been a need to do so.   </w:t>
            </w:r>
          </w:p>
        </w:tc>
      </w:tr>
      <w:tr w:rsidR="0016727C" w14:paraId="194B01B6" w14:textId="77777777" w:rsidTr="00425557">
        <w:tc>
          <w:tcPr>
            <w:tcW w:w="613" w:type="pct"/>
          </w:tcPr>
          <w:p w14:paraId="6055B376" w14:textId="77777777" w:rsidR="0016727C" w:rsidRDefault="0016727C" w:rsidP="00FC7AD1">
            <w:pPr>
              <w:spacing w:after="120" w:line="360" w:lineRule="auto"/>
            </w:pPr>
            <w:r>
              <w:t>5.19</w:t>
            </w:r>
          </w:p>
        </w:tc>
        <w:tc>
          <w:tcPr>
            <w:tcW w:w="4387" w:type="pct"/>
          </w:tcPr>
          <w:p w14:paraId="782407C5" w14:textId="26A89091" w:rsidR="0016727C" w:rsidRPr="00C40735" w:rsidRDefault="0016727C" w:rsidP="00FC7AD1">
            <w:pPr>
              <w:spacing w:after="120" w:line="360" w:lineRule="auto"/>
            </w:pPr>
            <w:r w:rsidRPr="00C40735">
              <w:t>As such, during those episodes the question that arises is did he have the capacity to make decisions about his care and treatment? Were medical staff aware of the impact his type of medical condition may have had on his mental function. Allied with that was his apparent difficulty in maintaining a reasonable weight (</w:t>
            </w:r>
            <w:r>
              <w:t xml:space="preserve">he was </w:t>
            </w:r>
            <w:r w:rsidRPr="00C40735">
              <w:t xml:space="preserve">often referred to as underweight) which would appear to further indicate a propensity to </w:t>
            </w:r>
            <w:proofErr w:type="spellStart"/>
            <w:r w:rsidRPr="00C40735">
              <w:t>self neglect</w:t>
            </w:r>
            <w:proofErr w:type="spellEnd"/>
            <w:r w:rsidRPr="00C40735">
              <w:t xml:space="preserve">. </w:t>
            </w:r>
          </w:p>
        </w:tc>
      </w:tr>
      <w:tr w:rsidR="0016727C" w14:paraId="3FD18982" w14:textId="77777777" w:rsidTr="00425557">
        <w:tc>
          <w:tcPr>
            <w:tcW w:w="613" w:type="pct"/>
          </w:tcPr>
          <w:p w14:paraId="6D8D6161" w14:textId="77777777" w:rsidR="0016727C" w:rsidRDefault="0016727C" w:rsidP="00FC7AD1">
            <w:pPr>
              <w:spacing w:after="120" w:line="360" w:lineRule="auto"/>
            </w:pPr>
            <w:r>
              <w:t>5.20</w:t>
            </w:r>
          </w:p>
        </w:tc>
        <w:tc>
          <w:tcPr>
            <w:tcW w:w="4387" w:type="pct"/>
          </w:tcPr>
          <w:p w14:paraId="4DBF529F" w14:textId="2BBEDA8D" w:rsidR="0016727C" w:rsidRDefault="0016727C" w:rsidP="00FC7AD1">
            <w:pPr>
              <w:spacing w:after="120" w:line="360" w:lineRule="auto"/>
            </w:pPr>
            <w:r>
              <w:t xml:space="preserve">Perhaps then the issue to be addressed should be; if the system of assessment, referrals and interventions is acceptable for </w:t>
            </w:r>
            <w:proofErr w:type="gramStart"/>
            <w:r>
              <w:t>the vast majority of</w:t>
            </w:r>
            <w:proofErr w:type="gramEnd"/>
            <w:r>
              <w:t xml:space="preserve"> patients, what should be done when professionals are faced with a case that is particularly challenging and falls outside the realms of what might be considered to be ‘usual’? </w:t>
            </w:r>
          </w:p>
        </w:tc>
      </w:tr>
      <w:tr w:rsidR="0016727C" w14:paraId="6516956F" w14:textId="77777777" w:rsidTr="00425557">
        <w:tc>
          <w:tcPr>
            <w:tcW w:w="613" w:type="pct"/>
          </w:tcPr>
          <w:p w14:paraId="649521B5" w14:textId="77777777" w:rsidR="0016727C" w:rsidRDefault="0016727C" w:rsidP="00FC7AD1">
            <w:pPr>
              <w:spacing w:after="120" w:line="360" w:lineRule="auto"/>
            </w:pPr>
            <w:r>
              <w:t>5.21</w:t>
            </w:r>
          </w:p>
          <w:p w14:paraId="483B02A8" w14:textId="77777777" w:rsidR="0016727C" w:rsidRDefault="0016727C" w:rsidP="00FC7AD1">
            <w:pPr>
              <w:spacing w:after="120" w:line="360" w:lineRule="auto"/>
              <w:rPr>
                <w:sz w:val="18"/>
                <w:szCs w:val="18"/>
              </w:rPr>
            </w:pPr>
          </w:p>
          <w:p w14:paraId="1AE1C212" w14:textId="77777777" w:rsidR="0016727C" w:rsidRDefault="0016727C" w:rsidP="00FC7AD1">
            <w:pPr>
              <w:spacing w:after="120" w:line="360" w:lineRule="auto"/>
              <w:rPr>
                <w:sz w:val="18"/>
                <w:szCs w:val="18"/>
              </w:rPr>
            </w:pPr>
          </w:p>
          <w:p w14:paraId="61DEFA9D" w14:textId="77777777" w:rsidR="0016727C" w:rsidRDefault="0016727C" w:rsidP="00FC7AD1">
            <w:pPr>
              <w:spacing w:after="120" w:line="360" w:lineRule="auto"/>
              <w:rPr>
                <w:sz w:val="18"/>
                <w:szCs w:val="18"/>
              </w:rPr>
            </w:pPr>
          </w:p>
          <w:p w14:paraId="42413D37" w14:textId="77777777" w:rsidR="0016727C" w:rsidRDefault="0016727C" w:rsidP="00FC7AD1">
            <w:pPr>
              <w:spacing w:after="120" w:line="360" w:lineRule="auto"/>
              <w:rPr>
                <w:sz w:val="18"/>
                <w:szCs w:val="18"/>
              </w:rPr>
            </w:pPr>
          </w:p>
          <w:p w14:paraId="5BD63B33" w14:textId="77777777" w:rsidR="0016727C" w:rsidRDefault="0016727C" w:rsidP="00FC7AD1">
            <w:pPr>
              <w:spacing w:after="120" w:line="360" w:lineRule="auto"/>
              <w:rPr>
                <w:sz w:val="18"/>
                <w:szCs w:val="18"/>
              </w:rPr>
            </w:pPr>
          </w:p>
          <w:p w14:paraId="44A9F3A9" w14:textId="77777777" w:rsidR="0016727C" w:rsidRDefault="0016727C" w:rsidP="00FC7AD1">
            <w:pPr>
              <w:spacing w:after="120" w:line="360" w:lineRule="auto"/>
              <w:rPr>
                <w:sz w:val="18"/>
                <w:szCs w:val="18"/>
              </w:rPr>
            </w:pPr>
          </w:p>
          <w:p w14:paraId="46F575F5" w14:textId="77777777" w:rsidR="0016727C" w:rsidRPr="009F0469" w:rsidRDefault="0016727C" w:rsidP="00FC7AD1">
            <w:pPr>
              <w:spacing w:after="120" w:line="360" w:lineRule="auto"/>
              <w:rPr>
                <w:sz w:val="18"/>
                <w:szCs w:val="18"/>
              </w:rPr>
            </w:pPr>
          </w:p>
        </w:tc>
        <w:tc>
          <w:tcPr>
            <w:tcW w:w="4387" w:type="pct"/>
          </w:tcPr>
          <w:p w14:paraId="10749F79" w14:textId="53D31ED3" w:rsidR="0016727C" w:rsidRPr="00FC7AD1" w:rsidRDefault="0016727C" w:rsidP="00FC7AD1">
            <w:pPr>
              <w:pStyle w:val="CommentText"/>
              <w:spacing w:after="120" w:line="360" w:lineRule="auto"/>
              <w:rPr>
                <w:sz w:val="24"/>
                <w:szCs w:val="24"/>
              </w:rPr>
            </w:pPr>
            <w:r>
              <w:rPr>
                <w:sz w:val="24"/>
                <w:szCs w:val="24"/>
              </w:rPr>
              <w:t xml:space="preserve">The </w:t>
            </w:r>
            <w:r w:rsidRPr="00057AD1">
              <w:rPr>
                <w:sz w:val="24"/>
                <w:szCs w:val="24"/>
              </w:rPr>
              <w:t>M</w:t>
            </w:r>
            <w:r>
              <w:rPr>
                <w:sz w:val="24"/>
                <w:szCs w:val="24"/>
              </w:rPr>
              <w:t xml:space="preserve">ental </w:t>
            </w:r>
            <w:r w:rsidRPr="00057AD1">
              <w:rPr>
                <w:sz w:val="24"/>
                <w:szCs w:val="24"/>
              </w:rPr>
              <w:t>C</w:t>
            </w:r>
            <w:r>
              <w:rPr>
                <w:sz w:val="24"/>
                <w:szCs w:val="24"/>
              </w:rPr>
              <w:t xml:space="preserve">apacity </w:t>
            </w:r>
            <w:r w:rsidRPr="00057AD1">
              <w:rPr>
                <w:sz w:val="24"/>
                <w:szCs w:val="24"/>
              </w:rPr>
              <w:t>A</w:t>
            </w:r>
            <w:r>
              <w:rPr>
                <w:sz w:val="24"/>
                <w:szCs w:val="24"/>
              </w:rPr>
              <w:t>ct (MCA)</w:t>
            </w:r>
            <w:r w:rsidRPr="00057AD1">
              <w:rPr>
                <w:sz w:val="24"/>
                <w:szCs w:val="24"/>
              </w:rPr>
              <w:t xml:space="preserve"> code of practice states ‘</w:t>
            </w:r>
            <w:r w:rsidRPr="00083769">
              <w:rPr>
                <w:i/>
                <w:iCs/>
                <w:sz w:val="24"/>
                <w:szCs w:val="24"/>
              </w:rPr>
              <w:t>it should be assumed that an adult (aged 16 or over) has full legal capacity to make decisions for themselves (the right to autonomy) unless it can be shown that they lack capacity to make a decision for themselves at the time the decision needs to be made’</w:t>
            </w:r>
            <w:r>
              <w:rPr>
                <w:sz w:val="24"/>
                <w:szCs w:val="24"/>
              </w:rPr>
              <w:t>. The codes of practice go on to describe that s</w:t>
            </w:r>
            <w:r w:rsidRPr="00057AD1">
              <w:rPr>
                <w:sz w:val="24"/>
                <w:szCs w:val="24"/>
              </w:rPr>
              <w:t>omeone’s ‘</w:t>
            </w:r>
            <w:r w:rsidRPr="00083769">
              <w:rPr>
                <w:i/>
                <w:iCs/>
                <w:sz w:val="24"/>
                <w:szCs w:val="24"/>
              </w:rPr>
              <w:t>behaviour or circumstances may cause doubt as to whether they have the capacity to make a decision’</w:t>
            </w:r>
            <w:r>
              <w:rPr>
                <w:sz w:val="24"/>
                <w:szCs w:val="24"/>
              </w:rPr>
              <w:t xml:space="preserve">. </w:t>
            </w:r>
            <w:proofErr w:type="gramStart"/>
            <w:r>
              <w:rPr>
                <w:sz w:val="24"/>
                <w:szCs w:val="24"/>
              </w:rPr>
              <w:t>A</w:t>
            </w:r>
            <w:proofErr w:type="gramEnd"/>
            <w:r>
              <w:rPr>
                <w:sz w:val="24"/>
                <w:szCs w:val="24"/>
              </w:rPr>
              <w:t xml:space="preserve"> MCA assessment c</w:t>
            </w:r>
            <w:r w:rsidRPr="00057AD1">
              <w:rPr>
                <w:sz w:val="24"/>
                <w:szCs w:val="24"/>
              </w:rPr>
              <w:t xml:space="preserve">an </w:t>
            </w:r>
            <w:r>
              <w:rPr>
                <w:sz w:val="24"/>
                <w:szCs w:val="24"/>
              </w:rPr>
              <w:t xml:space="preserve">therefore </w:t>
            </w:r>
            <w:r w:rsidRPr="00057AD1">
              <w:rPr>
                <w:sz w:val="24"/>
                <w:szCs w:val="24"/>
              </w:rPr>
              <w:t xml:space="preserve">help to guide the professional in determining if further support is required from a mental health specialist, multidisciplinary panel or even from a family member. </w:t>
            </w:r>
          </w:p>
        </w:tc>
      </w:tr>
      <w:tr w:rsidR="0016727C" w14:paraId="6359C38F" w14:textId="77777777" w:rsidTr="00425557">
        <w:tc>
          <w:tcPr>
            <w:tcW w:w="613" w:type="pct"/>
          </w:tcPr>
          <w:p w14:paraId="2E6FB12C" w14:textId="77777777" w:rsidR="0016727C" w:rsidRDefault="0016727C" w:rsidP="00FC7AD1">
            <w:pPr>
              <w:spacing w:after="120" w:line="360" w:lineRule="auto"/>
            </w:pPr>
            <w:r>
              <w:t>5.22</w:t>
            </w:r>
          </w:p>
        </w:tc>
        <w:tc>
          <w:tcPr>
            <w:tcW w:w="4387" w:type="pct"/>
          </w:tcPr>
          <w:p w14:paraId="4A4565A8" w14:textId="6552690E" w:rsidR="0016727C" w:rsidRPr="009E3EB9" w:rsidRDefault="0016727C" w:rsidP="00FC7AD1">
            <w:pPr>
              <w:spacing w:after="120" w:line="360" w:lineRule="auto"/>
            </w:pPr>
            <w:r w:rsidRPr="009E3EB9">
              <w:t xml:space="preserve">It would seem appropriate that in these instances a formal mental capacity act assessment be conducted.  Mr M22 had on-going issues relating to infection in his legs and amputation wound sites. These appear to </w:t>
            </w:r>
            <w:r>
              <w:t xml:space="preserve">have </w:t>
            </w:r>
            <w:r w:rsidRPr="009E3EB9">
              <w:t>be</w:t>
            </w:r>
            <w:r>
              <w:t>en</w:t>
            </w:r>
            <w:r w:rsidRPr="009E3EB9">
              <w:t xml:space="preserve"> further complicated by his poor nutritional state</w:t>
            </w:r>
            <w:r>
              <w:t>,</w:t>
            </w:r>
            <w:r w:rsidRPr="009E3EB9">
              <w:t xml:space="preserve"> which </w:t>
            </w:r>
            <w:r>
              <w:t>may have</w:t>
            </w:r>
            <w:r w:rsidRPr="009E3EB9">
              <w:t xml:space="preserve"> impacted upon his ability to deal with the infections. </w:t>
            </w:r>
          </w:p>
        </w:tc>
      </w:tr>
      <w:tr w:rsidR="0016727C" w14:paraId="32F16252" w14:textId="77777777" w:rsidTr="00425557">
        <w:tc>
          <w:tcPr>
            <w:tcW w:w="613" w:type="pct"/>
          </w:tcPr>
          <w:p w14:paraId="05B02383" w14:textId="77777777" w:rsidR="0016727C" w:rsidRDefault="0016727C" w:rsidP="00FC7AD1">
            <w:pPr>
              <w:spacing w:after="120" w:line="360" w:lineRule="auto"/>
            </w:pPr>
            <w:r>
              <w:lastRenderedPageBreak/>
              <w:t>5.23</w:t>
            </w:r>
          </w:p>
        </w:tc>
        <w:tc>
          <w:tcPr>
            <w:tcW w:w="4387" w:type="pct"/>
          </w:tcPr>
          <w:p w14:paraId="61E1EA96" w14:textId="25952736" w:rsidR="0016727C" w:rsidRPr="009E3EB9" w:rsidRDefault="0016727C" w:rsidP="00FC7AD1">
            <w:pPr>
              <w:spacing w:after="120" w:line="360" w:lineRule="auto"/>
            </w:pPr>
            <w:r w:rsidRPr="009E3EB9">
              <w:t xml:space="preserve">During one hospital visit it is noted that he was placed on a nasogastric feeding tube to try and assist with his nutrition.  </w:t>
            </w:r>
            <w:r>
              <w:t xml:space="preserve">Given these risk factors, his previous medical conditions (amputation), weight loss and extremely low body weight, </w:t>
            </w:r>
            <w:r w:rsidRPr="00100412">
              <w:t xml:space="preserve">consideration </w:t>
            </w:r>
            <w:r>
              <w:t xml:space="preserve">should </w:t>
            </w:r>
            <w:r w:rsidRPr="00100412">
              <w:t xml:space="preserve">have been given to conducting a formal MCA assessment </w:t>
            </w:r>
            <w:r>
              <w:t>and</w:t>
            </w:r>
            <w:r w:rsidRPr="00100412">
              <w:t xml:space="preserve"> Mr M22 </w:t>
            </w:r>
            <w:r>
              <w:t xml:space="preserve">should have been referred </w:t>
            </w:r>
            <w:r w:rsidRPr="00100412">
              <w:t xml:space="preserve">to a </w:t>
            </w:r>
            <w:proofErr w:type="gramStart"/>
            <w:r w:rsidRPr="00100412">
              <w:t>high risk</w:t>
            </w:r>
            <w:proofErr w:type="gramEnd"/>
            <w:r w:rsidRPr="00100412">
              <w:t xml:space="preserve"> panel</w:t>
            </w:r>
            <w:r>
              <w:t xml:space="preserve">. </w:t>
            </w:r>
            <w:r w:rsidRPr="00100412">
              <w:t xml:space="preserve">  </w:t>
            </w:r>
          </w:p>
        </w:tc>
      </w:tr>
      <w:tr w:rsidR="0016727C" w14:paraId="43B02BA6" w14:textId="77777777" w:rsidTr="00425557">
        <w:tc>
          <w:tcPr>
            <w:tcW w:w="613" w:type="pct"/>
          </w:tcPr>
          <w:p w14:paraId="7155B7DB" w14:textId="77777777" w:rsidR="0016727C" w:rsidRDefault="0016727C" w:rsidP="00FC7AD1">
            <w:pPr>
              <w:spacing w:after="120" w:line="360" w:lineRule="auto"/>
            </w:pPr>
            <w:r>
              <w:t>5.24</w:t>
            </w:r>
          </w:p>
          <w:p w14:paraId="007B451F" w14:textId="77777777" w:rsidR="0016727C" w:rsidRDefault="0016727C" w:rsidP="00FC7AD1">
            <w:pPr>
              <w:spacing w:after="120" w:line="360" w:lineRule="auto"/>
            </w:pPr>
          </w:p>
          <w:p w14:paraId="141773C8" w14:textId="77777777" w:rsidR="0016727C" w:rsidRPr="00C144CB" w:rsidRDefault="0016727C" w:rsidP="00FC7AD1">
            <w:pPr>
              <w:spacing w:after="120" w:line="360" w:lineRule="auto"/>
              <w:rPr>
                <w:color w:val="0000FF"/>
                <w:sz w:val="18"/>
                <w:szCs w:val="18"/>
              </w:rPr>
            </w:pPr>
          </w:p>
        </w:tc>
        <w:tc>
          <w:tcPr>
            <w:tcW w:w="4387" w:type="pct"/>
          </w:tcPr>
          <w:p w14:paraId="3325941F" w14:textId="660E1663" w:rsidR="0016727C" w:rsidRDefault="0016727C" w:rsidP="00FC7AD1">
            <w:pPr>
              <w:spacing w:after="120" w:line="360" w:lineRule="auto"/>
            </w:pPr>
            <w:r w:rsidRPr="007107B9">
              <w:t>For reference the author examined the NICE</w:t>
            </w:r>
            <w:r>
              <w:t xml:space="preserve"> guidelines regarding mental capacity, which provide a clear pathway of assessment. It is clear from admission documentation supplied to the author that MCA forms part of the admissions to all hospitals. In addition, there is clear guidance that this should be an on-going process, not purely confined to the period when a patient is being admitted. There is also additional guidance where it is recognised that a patient may be suffering from delirium. </w:t>
            </w:r>
          </w:p>
        </w:tc>
      </w:tr>
      <w:tr w:rsidR="0016727C" w14:paraId="16B1C571" w14:textId="77777777" w:rsidTr="00425557">
        <w:tc>
          <w:tcPr>
            <w:tcW w:w="613" w:type="pct"/>
          </w:tcPr>
          <w:p w14:paraId="58875698" w14:textId="77777777" w:rsidR="0016727C" w:rsidRDefault="0016727C" w:rsidP="00FC7AD1">
            <w:pPr>
              <w:spacing w:after="120" w:line="360" w:lineRule="auto"/>
            </w:pPr>
            <w:r>
              <w:t>5.25</w:t>
            </w:r>
          </w:p>
          <w:p w14:paraId="5B11F682" w14:textId="77777777" w:rsidR="0016727C" w:rsidRDefault="0016727C" w:rsidP="00FC7AD1">
            <w:pPr>
              <w:spacing w:after="120" w:line="360" w:lineRule="auto"/>
            </w:pPr>
          </w:p>
          <w:p w14:paraId="5B2ACBA4" w14:textId="77777777" w:rsidR="0016727C" w:rsidRPr="00C144CB" w:rsidRDefault="0016727C" w:rsidP="00FC7AD1">
            <w:pPr>
              <w:spacing w:after="120" w:line="360" w:lineRule="auto"/>
              <w:rPr>
                <w:color w:val="0000FF"/>
                <w:sz w:val="18"/>
                <w:szCs w:val="18"/>
              </w:rPr>
            </w:pPr>
          </w:p>
        </w:tc>
        <w:tc>
          <w:tcPr>
            <w:tcW w:w="4387" w:type="pct"/>
          </w:tcPr>
          <w:p w14:paraId="29755E5C" w14:textId="457DB0A7" w:rsidR="0016727C" w:rsidRPr="00FC7AD1" w:rsidRDefault="0016727C" w:rsidP="00FC7AD1">
            <w:pPr>
              <w:pStyle w:val="CommentText"/>
              <w:spacing w:after="120" w:line="360" w:lineRule="auto"/>
              <w:rPr>
                <w:rFonts w:cs="Times New Roman"/>
                <w:iCs/>
                <w:color w:val="000000"/>
                <w:sz w:val="24"/>
                <w:szCs w:val="24"/>
              </w:rPr>
            </w:pPr>
            <w:r>
              <w:rPr>
                <w:sz w:val="24"/>
                <w:szCs w:val="24"/>
              </w:rPr>
              <w:t>The Care Act 2014 outlines that where</w:t>
            </w:r>
            <w:r w:rsidRPr="00DB639E">
              <w:rPr>
                <w:sz w:val="24"/>
                <w:szCs w:val="24"/>
              </w:rPr>
              <w:t xml:space="preserve"> an adult has eligible needs, and these include managing and maintaining nutrition, a support plan should set out</w:t>
            </w:r>
            <w:r>
              <w:rPr>
                <w:sz w:val="24"/>
                <w:szCs w:val="24"/>
              </w:rPr>
              <w:t xml:space="preserve"> </w:t>
            </w:r>
            <w:r w:rsidRPr="00DB639E">
              <w:rPr>
                <w:sz w:val="24"/>
                <w:szCs w:val="24"/>
              </w:rPr>
              <w:t>how these needs can be met</w:t>
            </w:r>
            <w:r>
              <w:rPr>
                <w:sz w:val="24"/>
                <w:szCs w:val="24"/>
              </w:rPr>
              <w:t>. These</w:t>
            </w:r>
            <w:r w:rsidRPr="00DB639E">
              <w:rPr>
                <w:sz w:val="24"/>
                <w:szCs w:val="24"/>
              </w:rPr>
              <w:t xml:space="preserve"> may </w:t>
            </w:r>
            <w:r>
              <w:rPr>
                <w:sz w:val="24"/>
                <w:szCs w:val="24"/>
              </w:rPr>
              <w:t>involve</w:t>
            </w:r>
            <w:r w:rsidRPr="00DB639E">
              <w:rPr>
                <w:sz w:val="24"/>
                <w:szCs w:val="24"/>
              </w:rPr>
              <w:t xml:space="preserve"> </w:t>
            </w:r>
            <w:r>
              <w:rPr>
                <w:sz w:val="24"/>
                <w:szCs w:val="24"/>
              </w:rPr>
              <w:t>a number of</w:t>
            </w:r>
            <w:r w:rsidRPr="00DB639E">
              <w:rPr>
                <w:sz w:val="24"/>
                <w:szCs w:val="24"/>
              </w:rPr>
              <w:t xml:space="preserve"> options</w:t>
            </w:r>
            <w:r>
              <w:rPr>
                <w:sz w:val="24"/>
                <w:szCs w:val="24"/>
              </w:rPr>
              <w:t xml:space="preserve"> </w:t>
            </w:r>
            <w:proofErr w:type="gramStart"/>
            <w:r>
              <w:rPr>
                <w:sz w:val="24"/>
                <w:szCs w:val="24"/>
              </w:rPr>
              <w:t>including;</w:t>
            </w:r>
            <w:proofErr w:type="gramEnd"/>
            <w:r>
              <w:rPr>
                <w:sz w:val="24"/>
                <w:szCs w:val="24"/>
              </w:rPr>
              <w:t xml:space="preserve"> </w:t>
            </w:r>
            <w:r w:rsidRPr="00DB639E">
              <w:rPr>
                <w:rFonts w:cs="Times New Roman"/>
                <w:iCs/>
                <w:color w:val="000000"/>
                <w:sz w:val="24"/>
                <w:szCs w:val="24"/>
              </w:rPr>
              <w:t>a care worker go</w:t>
            </w:r>
            <w:r>
              <w:rPr>
                <w:rFonts w:cs="Times New Roman"/>
                <w:iCs/>
                <w:color w:val="000000"/>
                <w:sz w:val="24"/>
                <w:szCs w:val="24"/>
              </w:rPr>
              <w:t>ing</w:t>
            </w:r>
            <w:r w:rsidRPr="00DB639E">
              <w:rPr>
                <w:rFonts w:cs="Times New Roman"/>
                <w:iCs/>
                <w:color w:val="000000"/>
                <w:sz w:val="24"/>
                <w:szCs w:val="24"/>
              </w:rPr>
              <w:t xml:space="preserve"> shopping on behalf of a client to get food</w:t>
            </w:r>
            <w:r>
              <w:rPr>
                <w:rFonts w:cs="Times New Roman"/>
                <w:iCs/>
                <w:color w:val="000000"/>
                <w:sz w:val="24"/>
                <w:szCs w:val="24"/>
              </w:rPr>
              <w:t xml:space="preserve">, </w:t>
            </w:r>
            <w:r w:rsidRPr="00DB639E">
              <w:rPr>
                <w:rFonts w:cs="Times New Roman"/>
                <w:iCs/>
                <w:color w:val="000000"/>
                <w:sz w:val="24"/>
                <w:szCs w:val="24"/>
              </w:rPr>
              <w:t>assist</w:t>
            </w:r>
            <w:r>
              <w:rPr>
                <w:rFonts w:cs="Times New Roman"/>
                <w:iCs/>
                <w:color w:val="000000"/>
                <w:sz w:val="24"/>
                <w:szCs w:val="24"/>
              </w:rPr>
              <w:t>ing</w:t>
            </w:r>
            <w:r w:rsidRPr="00DB639E">
              <w:rPr>
                <w:rFonts w:cs="Times New Roman"/>
                <w:iCs/>
                <w:color w:val="000000"/>
                <w:sz w:val="24"/>
                <w:szCs w:val="24"/>
              </w:rPr>
              <w:t xml:space="preserve"> with heating up meals</w:t>
            </w:r>
            <w:r>
              <w:rPr>
                <w:rFonts w:cs="Times New Roman"/>
                <w:iCs/>
                <w:color w:val="000000"/>
                <w:sz w:val="24"/>
                <w:szCs w:val="24"/>
              </w:rPr>
              <w:t>,</w:t>
            </w:r>
            <w:r w:rsidRPr="00DB639E">
              <w:rPr>
                <w:rFonts w:cs="Times New Roman"/>
                <w:iCs/>
                <w:color w:val="000000"/>
                <w:sz w:val="24"/>
                <w:szCs w:val="24"/>
              </w:rPr>
              <w:t xml:space="preserve"> or making a lunch or dinner.  Additionally, clients can order cooked food that is chargeable. This also works on a self-referral system that does not have to be accessed via social care. </w:t>
            </w:r>
          </w:p>
        </w:tc>
      </w:tr>
      <w:tr w:rsidR="0016727C" w14:paraId="6F48AB93" w14:textId="77777777" w:rsidTr="00425557">
        <w:tc>
          <w:tcPr>
            <w:tcW w:w="613" w:type="pct"/>
          </w:tcPr>
          <w:p w14:paraId="3CF0479C" w14:textId="77777777" w:rsidR="0016727C" w:rsidRDefault="0016727C" w:rsidP="00FC7AD1">
            <w:pPr>
              <w:spacing w:after="120" w:line="360" w:lineRule="auto"/>
            </w:pPr>
            <w:r>
              <w:t>5.26</w:t>
            </w:r>
          </w:p>
        </w:tc>
        <w:tc>
          <w:tcPr>
            <w:tcW w:w="4387" w:type="pct"/>
          </w:tcPr>
          <w:p w14:paraId="0AE78792" w14:textId="01EEC499" w:rsidR="0016727C" w:rsidRPr="00FC7AD1" w:rsidRDefault="0016727C" w:rsidP="00FC7AD1">
            <w:pPr>
              <w:spacing w:after="120" w:line="360" w:lineRule="auto"/>
              <w:rPr>
                <w:rFonts w:cs="Times New Roman"/>
              </w:rPr>
            </w:pPr>
            <w:r w:rsidRPr="00376315">
              <w:rPr>
                <w:rFonts w:cs="Times New Roman"/>
                <w:iCs/>
              </w:rPr>
              <w:t xml:space="preserve">Social care services are means tested for anyone appearing to require this service. If Mr M22 had been assessed as not having to contribute due to his low </w:t>
            </w:r>
            <w:proofErr w:type="gramStart"/>
            <w:r w:rsidRPr="00376315">
              <w:rPr>
                <w:rFonts w:cs="Times New Roman"/>
                <w:iCs/>
              </w:rPr>
              <w:t>income</w:t>
            </w:r>
            <w:proofErr w:type="gramEnd"/>
            <w:r w:rsidRPr="00376315">
              <w:rPr>
                <w:rFonts w:cs="Times New Roman"/>
                <w:iCs/>
              </w:rPr>
              <w:t xml:space="preserve"> then the care service would have been free. The financial status of Mr M22 is not known, however, he appears to have never consented to an assessment or a means test. </w:t>
            </w:r>
          </w:p>
        </w:tc>
      </w:tr>
      <w:tr w:rsidR="0016727C" w14:paraId="5EBA81C3" w14:textId="77777777" w:rsidTr="00425557">
        <w:tc>
          <w:tcPr>
            <w:tcW w:w="613" w:type="pct"/>
          </w:tcPr>
          <w:p w14:paraId="51EB27CE" w14:textId="77777777" w:rsidR="0016727C" w:rsidRDefault="0016727C" w:rsidP="00FC7AD1">
            <w:pPr>
              <w:spacing w:after="120" w:line="360" w:lineRule="auto"/>
            </w:pPr>
            <w:r>
              <w:t>5.27</w:t>
            </w:r>
          </w:p>
        </w:tc>
        <w:tc>
          <w:tcPr>
            <w:tcW w:w="4387" w:type="pct"/>
          </w:tcPr>
          <w:p w14:paraId="7C04C9B1" w14:textId="3FF8D176" w:rsidR="0016727C" w:rsidRPr="00CD1B02" w:rsidRDefault="0016727C" w:rsidP="00FC7AD1">
            <w:pPr>
              <w:spacing w:after="120" w:line="360" w:lineRule="auto"/>
            </w:pPr>
            <w:r>
              <w:t xml:space="preserve">There does not appear to have been a safeguarding plan documented within the information supplied as part of this review. There was no mention found that staff considered self-neglect as being an issue with Mr M22, or that there would have been any impact on his decision making due to substance misuse or issues regarding his mental health. </w:t>
            </w:r>
          </w:p>
        </w:tc>
      </w:tr>
      <w:tr w:rsidR="0016727C" w14:paraId="73000C3F" w14:textId="77777777" w:rsidTr="00425557">
        <w:tc>
          <w:tcPr>
            <w:tcW w:w="613" w:type="pct"/>
          </w:tcPr>
          <w:p w14:paraId="3410F66C" w14:textId="77777777" w:rsidR="0016727C" w:rsidRDefault="0016727C" w:rsidP="00FC7AD1">
            <w:pPr>
              <w:spacing w:after="120" w:line="360" w:lineRule="auto"/>
            </w:pPr>
            <w:r>
              <w:lastRenderedPageBreak/>
              <w:t>5.28</w:t>
            </w:r>
          </w:p>
        </w:tc>
        <w:tc>
          <w:tcPr>
            <w:tcW w:w="4387" w:type="pct"/>
          </w:tcPr>
          <w:p w14:paraId="35A76CA7" w14:textId="47887855" w:rsidR="0016727C" w:rsidRPr="00FC7AD1" w:rsidRDefault="0016727C" w:rsidP="00FC7AD1">
            <w:pPr>
              <w:spacing w:after="120" w:line="360" w:lineRule="auto"/>
              <w:rPr>
                <w:rFonts w:cs="Segoe UI"/>
                <w:color w:val="000000"/>
              </w:rPr>
            </w:pPr>
            <w:r w:rsidRPr="00C14E18">
              <w:rPr>
                <w:rFonts w:cs="Segoe UI"/>
                <w:color w:val="000000"/>
              </w:rPr>
              <w:t>Safeguarding policies for adults at risk are available to all practitioners involved in the care of Mr M22 through their own agency and through the Nottinghamshire Safeguarding Adults Board policies and procedures. In addition</w:t>
            </w:r>
            <w:r>
              <w:rPr>
                <w:rFonts w:cs="Segoe UI"/>
                <w:color w:val="000000"/>
              </w:rPr>
              <w:t xml:space="preserve">, </w:t>
            </w:r>
            <w:r w:rsidRPr="00C14E18">
              <w:rPr>
                <w:rFonts w:cs="Segoe UI"/>
                <w:color w:val="000000"/>
              </w:rPr>
              <w:t xml:space="preserve">the Self Neglect toolkit provides guidance for all agencies. </w:t>
            </w:r>
          </w:p>
        </w:tc>
      </w:tr>
      <w:tr w:rsidR="0016727C" w14:paraId="6013BDA6" w14:textId="77777777" w:rsidTr="00425557">
        <w:tc>
          <w:tcPr>
            <w:tcW w:w="613" w:type="pct"/>
          </w:tcPr>
          <w:p w14:paraId="63E2B4F6" w14:textId="77777777" w:rsidR="0016727C" w:rsidRPr="00DB6770" w:rsidRDefault="0016727C" w:rsidP="00FC7AD1">
            <w:pPr>
              <w:spacing w:after="120" w:line="360" w:lineRule="auto"/>
            </w:pPr>
            <w:r>
              <w:t>5.29</w:t>
            </w:r>
          </w:p>
        </w:tc>
        <w:tc>
          <w:tcPr>
            <w:tcW w:w="4387" w:type="pct"/>
          </w:tcPr>
          <w:p w14:paraId="76EC3E02" w14:textId="597D24E7" w:rsidR="0016727C" w:rsidRPr="00FC7AD1" w:rsidRDefault="0016727C" w:rsidP="00FC7AD1">
            <w:pPr>
              <w:spacing w:after="120" w:line="360" w:lineRule="auto"/>
            </w:pPr>
            <w:r>
              <w:t xml:space="preserve">All patients have freedom of choice to refuse treatment or services, but there will sometimes be a point where those rights are overridden in the patient’s best interest. Given his complex health needs, attitude and behaviour and documented weight loss, it seems clear that this was a case where self-neglect was evident and professionals had a duty to intervene in the best interests of Mr M22. </w:t>
            </w:r>
          </w:p>
        </w:tc>
      </w:tr>
      <w:tr w:rsidR="0016727C" w14:paraId="58046827" w14:textId="77777777" w:rsidTr="00425557">
        <w:tc>
          <w:tcPr>
            <w:tcW w:w="613" w:type="pct"/>
          </w:tcPr>
          <w:p w14:paraId="705F6AEF" w14:textId="77777777" w:rsidR="0016727C" w:rsidRDefault="0016727C" w:rsidP="00FC7AD1">
            <w:pPr>
              <w:spacing w:after="120" w:line="360" w:lineRule="auto"/>
            </w:pPr>
            <w:r>
              <w:t>5.30</w:t>
            </w:r>
          </w:p>
        </w:tc>
        <w:tc>
          <w:tcPr>
            <w:tcW w:w="4387" w:type="pct"/>
          </w:tcPr>
          <w:p w14:paraId="7B21BAB3" w14:textId="30FD8B75" w:rsidR="0016727C" w:rsidRPr="00FC7AD1" w:rsidRDefault="0016727C" w:rsidP="00FC7AD1">
            <w:pPr>
              <w:pStyle w:val="NormalWeb"/>
              <w:spacing w:before="0" w:beforeAutospacing="0" w:after="120" w:afterAutospacing="0" w:line="360" w:lineRule="auto"/>
              <w:rPr>
                <w:rFonts w:ascii="Calibri" w:hAnsi="Calibri" w:cs="Calibri"/>
                <w:b/>
                <w:bCs/>
                <w:sz w:val="28"/>
                <w:szCs w:val="28"/>
                <w:u w:val="single"/>
              </w:rPr>
            </w:pPr>
            <w:r>
              <w:rPr>
                <w:rFonts w:ascii="Calibri" w:hAnsi="Calibri" w:cs="Calibri"/>
                <w:b/>
                <w:bCs/>
                <w:sz w:val="28"/>
                <w:szCs w:val="28"/>
                <w:u w:val="single"/>
              </w:rPr>
              <w:t>Risk management</w:t>
            </w:r>
          </w:p>
        </w:tc>
      </w:tr>
      <w:tr w:rsidR="0016727C" w14:paraId="169F20AA" w14:textId="77777777" w:rsidTr="00425557">
        <w:tc>
          <w:tcPr>
            <w:tcW w:w="613" w:type="pct"/>
          </w:tcPr>
          <w:p w14:paraId="3C1C7536" w14:textId="77777777" w:rsidR="0016727C" w:rsidRPr="0059293C" w:rsidRDefault="0016727C" w:rsidP="00FC7AD1">
            <w:pPr>
              <w:spacing w:after="120" w:line="360" w:lineRule="auto"/>
            </w:pPr>
            <w:r>
              <w:t>5.31</w:t>
            </w:r>
          </w:p>
        </w:tc>
        <w:tc>
          <w:tcPr>
            <w:tcW w:w="4387" w:type="pct"/>
          </w:tcPr>
          <w:p w14:paraId="0E275972" w14:textId="53B9DAA1" w:rsidR="0016727C" w:rsidRPr="0059293C"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It was highlighted during the practitioner learning event that during the period under review</w:t>
            </w:r>
            <w:r>
              <w:rPr>
                <w:rFonts w:asciiTheme="minorHAnsi" w:hAnsiTheme="minorHAnsi" w:cs="Calibri"/>
              </w:rPr>
              <w:t>,</w:t>
            </w:r>
            <w:r w:rsidRPr="0059293C">
              <w:rPr>
                <w:rFonts w:asciiTheme="minorHAnsi" w:hAnsiTheme="minorHAnsi" w:cs="Calibri"/>
              </w:rPr>
              <w:t xml:space="preserve"> staffing levels amongst the community teams was often at a critical</w:t>
            </w:r>
            <w:r>
              <w:rPr>
                <w:rFonts w:asciiTheme="minorHAnsi" w:hAnsiTheme="minorHAnsi" w:cs="Calibri"/>
              </w:rPr>
              <w:t xml:space="preserve">ly low </w:t>
            </w:r>
            <w:r w:rsidRPr="0059293C">
              <w:rPr>
                <w:rFonts w:asciiTheme="minorHAnsi" w:hAnsiTheme="minorHAnsi" w:cs="Calibri"/>
              </w:rPr>
              <w:t xml:space="preserve">level. So much so that </w:t>
            </w:r>
            <w:r>
              <w:rPr>
                <w:rFonts w:asciiTheme="minorHAnsi" w:hAnsiTheme="minorHAnsi" w:cs="Calibri"/>
              </w:rPr>
              <w:t>the situation</w:t>
            </w:r>
            <w:r w:rsidRPr="0059293C">
              <w:rPr>
                <w:rFonts w:asciiTheme="minorHAnsi" w:hAnsiTheme="minorHAnsi" w:cs="Calibri"/>
              </w:rPr>
              <w:t xml:space="preserve"> had been highlighted to the Trust and had been added to the risk register as being a </w:t>
            </w:r>
            <w:r>
              <w:rPr>
                <w:rFonts w:asciiTheme="minorHAnsi" w:hAnsiTheme="minorHAnsi" w:cs="Calibri"/>
              </w:rPr>
              <w:t>‘</w:t>
            </w:r>
            <w:r w:rsidRPr="002B35EC">
              <w:rPr>
                <w:rFonts w:asciiTheme="minorHAnsi" w:hAnsiTheme="minorHAnsi" w:cs="Calibri"/>
                <w:i/>
                <w:iCs/>
              </w:rPr>
              <w:t>critical issue’</w:t>
            </w:r>
            <w:r w:rsidRPr="0059293C">
              <w:rPr>
                <w:rFonts w:asciiTheme="minorHAnsi" w:hAnsiTheme="minorHAnsi" w:cs="Calibri"/>
              </w:rPr>
              <w:t xml:space="preserve">. </w:t>
            </w:r>
          </w:p>
        </w:tc>
      </w:tr>
      <w:tr w:rsidR="0016727C" w14:paraId="2107523C" w14:textId="77777777" w:rsidTr="00425557">
        <w:tc>
          <w:tcPr>
            <w:tcW w:w="613" w:type="pct"/>
          </w:tcPr>
          <w:p w14:paraId="71B4E0B6" w14:textId="77777777" w:rsidR="0016727C" w:rsidRPr="0059293C" w:rsidRDefault="0016727C" w:rsidP="00FC7AD1">
            <w:pPr>
              <w:spacing w:after="120" w:line="360" w:lineRule="auto"/>
            </w:pPr>
            <w:r>
              <w:t>5.32</w:t>
            </w:r>
          </w:p>
        </w:tc>
        <w:tc>
          <w:tcPr>
            <w:tcW w:w="4387" w:type="pct"/>
          </w:tcPr>
          <w:p w14:paraId="639688B4" w14:textId="114B189C" w:rsidR="0016727C" w:rsidRPr="0059293C"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 xml:space="preserve">One </w:t>
            </w:r>
            <w:r>
              <w:rPr>
                <w:rFonts w:asciiTheme="minorHAnsi" w:hAnsiTheme="minorHAnsi" w:cs="Calibri"/>
              </w:rPr>
              <w:t xml:space="preserve">community nursing </w:t>
            </w:r>
            <w:r w:rsidRPr="0059293C">
              <w:rPr>
                <w:rFonts w:asciiTheme="minorHAnsi" w:hAnsiTheme="minorHAnsi" w:cs="Calibri"/>
              </w:rPr>
              <w:t xml:space="preserve">manager stated during the </w:t>
            </w:r>
            <w:r>
              <w:rPr>
                <w:rFonts w:asciiTheme="minorHAnsi" w:hAnsiTheme="minorHAnsi" w:cs="Calibri"/>
              </w:rPr>
              <w:t xml:space="preserve">practitioner learning </w:t>
            </w:r>
            <w:r w:rsidRPr="0059293C">
              <w:rPr>
                <w:rFonts w:asciiTheme="minorHAnsi" w:hAnsiTheme="minorHAnsi" w:cs="Calibri"/>
              </w:rPr>
              <w:t xml:space="preserve">event that community </w:t>
            </w:r>
            <w:r>
              <w:rPr>
                <w:rFonts w:asciiTheme="minorHAnsi" w:hAnsiTheme="minorHAnsi" w:cs="Calibri"/>
              </w:rPr>
              <w:t xml:space="preserve">nursing </w:t>
            </w:r>
            <w:r w:rsidRPr="0059293C">
              <w:rPr>
                <w:rFonts w:asciiTheme="minorHAnsi" w:hAnsiTheme="minorHAnsi" w:cs="Calibri"/>
              </w:rPr>
              <w:t>services were continuously advertising for staff to fill vacancies and that due to shortages and a lack of resilience they were always “</w:t>
            </w:r>
            <w:r w:rsidRPr="0059293C">
              <w:rPr>
                <w:rFonts w:asciiTheme="minorHAnsi" w:hAnsiTheme="minorHAnsi" w:cs="Calibri"/>
                <w:i/>
                <w:iCs/>
              </w:rPr>
              <w:t>playing catchup</w:t>
            </w:r>
            <w:r w:rsidRPr="0059293C">
              <w:rPr>
                <w:rFonts w:asciiTheme="minorHAnsi" w:hAnsiTheme="minorHAnsi" w:cs="Calibri"/>
              </w:rPr>
              <w:t xml:space="preserve">”. </w:t>
            </w:r>
          </w:p>
        </w:tc>
      </w:tr>
      <w:tr w:rsidR="0016727C" w14:paraId="7FD2AD25" w14:textId="77777777" w:rsidTr="00425557">
        <w:tc>
          <w:tcPr>
            <w:tcW w:w="613" w:type="pct"/>
          </w:tcPr>
          <w:p w14:paraId="30EA9067" w14:textId="77777777" w:rsidR="0016727C" w:rsidRPr="0059293C" w:rsidRDefault="0016727C" w:rsidP="00FC7AD1">
            <w:pPr>
              <w:spacing w:after="120" w:line="360" w:lineRule="auto"/>
            </w:pPr>
            <w:r>
              <w:t>5.33</w:t>
            </w:r>
          </w:p>
        </w:tc>
        <w:tc>
          <w:tcPr>
            <w:tcW w:w="4387" w:type="pct"/>
          </w:tcPr>
          <w:p w14:paraId="2BBCAA01" w14:textId="08FBC3FC" w:rsidR="0016727C" w:rsidRPr="0059293C"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 xml:space="preserve">Within the initial </w:t>
            </w:r>
            <w:r>
              <w:rPr>
                <w:rFonts w:asciiTheme="minorHAnsi" w:hAnsiTheme="minorHAnsi" w:cs="Calibri"/>
              </w:rPr>
              <w:t>IMR</w:t>
            </w:r>
            <w:r w:rsidRPr="0059293C">
              <w:rPr>
                <w:rFonts w:asciiTheme="minorHAnsi" w:hAnsiTheme="minorHAnsi" w:cs="Calibri"/>
              </w:rPr>
              <w:t xml:space="preserve"> it was described that staff were too </w:t>
            </w:r>
            <w:r w:rsidRPr="0059293C">
              <w:rPr>
                <w:rFonts w:asciiTheme="minorHAnsi" w:hAnsiTheme="minorHAnsi" w:cs="Calibri"/>
                <w:i/>
                <w:iCs/>
              </w:rPr>
              <w:t>“task orientated”</w:t>
            </w:r>
            <w:r w:rsidRPr="0059293C">
              <w:rPr>
                <w:rFonts w:asciiTheme="minorHAnsi" w:hAnsiTheme="minorHAnsi" w:cs="Calibri"/>
              </w:rPr>
              <w:t xml:space="preserve"> in that they were too intent upon satisfying the care plan for individual patients and were not holistic enough in their approach.</w:t>
            </w:r>
          </w:p>
        </w:tc>
      </w:tr>
      <w:tr w:rsidR="0016727C" w14:paraId="2FC1CA5B" w14:textId="77777777" w:rsidTr="00425557">
        <w:tc>
          <w:tcPr>
            <w:tcW w:w="613" w:type="pct"/>
          </w:tcPr>
          <w:p w14:paraId="50495AE7" w14:textId="77777777" w:rsidR="0016727C" w:rsidRPr="0059293C" w:rsidRDefault="0016727C" w:rsidP="00FC7AD1">
            <w:pPr>
              <w:spacing w:after="120" w:line="360" w:lineRule="auto"/>
            </w:pPr>
            <w:r>
              <w:t>5.34</w:t>
            </w:r>
          </w:p>
        </w:tc>
        <w:tc>
          <w:tcPr>
            <w:tcW w:w="4387" w:type="pct"/>
          </w:tcPr>
          <w:p w14:paraId="5F1E7D82" w14:textId="3D9A4D93" w:rsidR="0016727C" w:rsidRPr="0059293C"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 xml:space="preserve">In essence </w:t>
            </w:r>
            <w:r>
              <w:rPr>
                <w:rFonts w:asciiTheme="minorHAnsi" w:hAnsiTheme="minorHAnsi" w:cs="Calibri"/>
              </w:rPr>
              <w:t xml:space="preserve">the conclusion was that </w:t>
            </w:r>
            <w:r w:rsidRPr="0059293C">
              <w:rPr>
                <w:rFonts w:asciiTheme="minorHAnsi" w:hAnsiTheme="minorHAnsi" w:cs="Calibri"/>
              </w:rPr>
              <w:t xml:space="preserve">it was a case of </w:t>
            </w:r>
            <w:r w:rsidRPr="0059293C">
              <w:rPr>
                <w:rFonts w:asciiTheme="minorHAnsi" w:hAnsiTheme="minorHAnsi" w:cs="Calibri"/>
                <w:i/>
                <w:iCs/>
              </w:rPr>
              <w:t>“complete the care plan objectives</w:t>
            </w:r>
            <w:r w:rsidRPr="0059293C">
              <w:rPr>
                <w:rFonts w:asciiTheme="minorHAnsi" w:hAnsiTheme="minorHAnsi" w:cs="Calibri"/>
              </w:rPr>
              <w:t xml:space="preserve">” and then move onto the next patient? This </w:t>
            </w:r>
            <w:r>
              <w:rPr>
                <w:rFonts w:asciiTheme="minorHAnsi" w:hAnsiTheme="minorHAnsi" w:cs="Calibri"/>
              </w:rPr>
              <w:t xml:space="preserve">is </w:t>
            </w:r>
            <w:r w:rsidRPr="0059293C">
              <w:rPr>
                <w:rFonts w:asciiTheme="minorHAnsi" w:hAnsiTheme="minorHAnsi" w:cs="Calibri"/>
              </w:rPr>
              <w:t>undoubtedly</w:t>
            </w:r>
            <w:r>
              <w:rPr>
                <w:rFonts w:asciiTheme="minorHAnsi" w:hAnsiTheme="minorHAnsi" w:cs="Calibri"/>
              </w:rPr>
              <w:t xml:space="preserve"> a risk</w:t>
            </w:r>
            <w:r w:rsidRPr="0059293C">
              <w:rPr>
                <w:rFonts w:asciiTheme="minorHAnsi" w:hAnsiTheme="minorHAnsi" w:cs="Calibri"/>
              </w:rPr>
              <w:t xml:space="preserve"> when there are insufficient staff who are faced with a large workload</w:t>
            </w:r>
            <w:r>
              <w:rPr>
                <w:rFonts w:asciiTheme="minorHAnsi" w:hAnsiTheme="minorHAnsi" w:cs="Calibri"/>
              </w:rPr>
              <w:t xml:space="preserve">. </w:t>
            </w:r>
            <w:r w:rsidRPr="0059293C">
              <w:rPr>
                <w:rFonts w:asciiTheme="minorHAnsi" w:hAnsiTheme="minorHAnsi" w:cs="Calibri"/>
              </w:rPr>
              <w:t xml:space="preserve"> </w:t>
            </w:r>
          </w:p>
        </w:tc>
      </w:tr>
      <w:tr w:rsidR="0016727C" w14:paraId="32A34A18" w14:textId="77777777" w:rsidTr="00425557">
        <w:tc>
          <w:tcPr>
            <w:tcW w:w="613" w:type="pct"/>
          </w:tcPr>
          <w:p w14:paraId="387CCEA4" w14:textId="77777777" w:rsidR="0016727C" w:rsidRDefault="0016727C" w:rsidP="00FC7AD1">
            <w:pPr>
              <w:spacing w:after="120" w:line="360" w:lineRule="auto"/>
            </w:pPr>
            <w:r>
              <w:t>5.35</w:t>
            </w:r>
          </w:p>
        </w:tc>
        <w:tc>
          <w:tcPr>
            <w:tcW w:w="4387" w:type="pct"/>
          </w:tcPr>
          <w:p w14:paraId="32599B30" w14:textId="639ECEA0" w:rsidR="0016727C" w:rsidRPr="0059293C"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The initial review highlighted that there appeared to be no reference within Mr M22’s clinical records that his case had ever been discussed during supervision</w:t>
            </w:r>
            <w:r>
              <w:rPr>
                <w:rFonts w:asciiTheme="minorHAnsi" w:hAnsiTheme="minorHAnsi" w:cs="Calibri"/>
              </w:rPr>
              <w:t xml:space="preserve">, </w:t>
            </w:r>
            <w:r w:rsidRPr="0059293C">
              <w:rPr>
                <w:rFonts w:asciiTheme="minorHAnsi" w:hAnsiTheme="minorHAnsi" w:cs="Calibri"/>
              </w:rPr>
              <w:t xml:space="preserve">or that senior managers were aware of the complex case. </w:t>
            </w:r>
          </w:p>
        </w:tc>
      </w:tr>
      <w:tr w:rsidR="0016727C" w14:paraId="01DC38F3" w14:textId="77777777" w:rsidTr="00425557">
        <w:tc>
          <w:tcPr>
            <w:tcW w:w="613" w:type="pct"/>
          </w:tcPr>
          <w:p w14:paraId="3D5E4366" w14:textId="77777777" w:rsidR="0016727C" w:rsidRDefault="0016727C" w:rsidP="00FC7AD1">
            <w:pPr>
              <w:spacing w:after="120" w:line="360" w:lineRule="auto"/>
            </w:pPr>
            <w:r>
              <w:lastRenderedPageBreak/>
              <w:t>5.36</w:t>
            </w:r>
          </w:p>
        </w:tc>
        <w:tc>
          <w:tcPr>
            <w:tcW w:w="4387" w:type="pct"/>
          </w:tcPr>
          <w:p w14:paraId="644C813C" w14:textId="77777777" w:rsidR="0016727C" w:rsidRPr="0059293C" w:rsidRDefault="0016727C" w:rsidP="00FC7AD1">
            <w:pPr>
              <w:pStyle w:val="NormalWeb"/>
              <w:spacing w:before="0" w:beforeAutospacing="0" w:after="120" w:afterAutospacing="0" w:line="360" w:lineRule="auto"/>
              <w:rPr>
                <w:rFonts w:asciiTheme="minorHAnsi" w:hAnsiTheme="minorHAnsi" w:cs="Calibri"/>
              </w:rPr>
            </w:pPr>
            <w:r>
              <w:rPr>
                <w:rFonts w:asciiTheme="minorHAnsi" w:hAnsiTheme="minorHAnsi" w:cs="Calibri"/>
              </w:rPr>
              <w:t>Systems and processes were in place for supervision and clinical oversight, however if staff working with M22 did not recognise the holistic concerns around self-neglect then they may not necessarily escalate concerns or recognise the need for supervision.  Since this time the service have improved handovers to promote confirm and challenge and exploration of safeguarding issues</w:t>
            </w:r>
            <w:r w:rsidRPr="0059293C">
              <w:rPr>
                <w:rFonts w:asciiTheme="minorHAnsi" w:hAnsiTheme="minorHAnsi" w:cs="Calibri"/>
              </w:rPr>
              <w:t xml:space="preserve">.  </w:t>
            </w:r>
          </w:p>
          <w:p w14:paraId="2DADDBF6" w14:textId="12310720" w:rsidR="0016727C" w:rsidRPr="0059293C" w:rsidRDefault="0016727C" w:rsidP="00FC7AD1">
            <w:pPr>
              <w:pStyle w:val="NormalWeb"/>
              <w:spacing w:before="0" w:beforeAutospacing="0" w:after="120" w:afterAutospacing="0" w:line="360" w:lineRule="auto"/>
              <w:rPr>
                <w:rFonts w:asciiTheme="minorHAnsi" w:hAnsiTheme="minorHAnsi" w:cs="Calibri"/>
              </w:rPr>
            </w:pPr>
            <w:r>
              <w:rPr>
                <w:rFonts w:asciiTheme="minorHAnsi" w:hAnsiTheme="minorHAnsi" w:cs="Calibri"/>
              </w:rPr>
              <w:t xml:space="preserve">The author was informed that the trust safeguarding policies are readily available on the internal intranet, as is the </w:t>
            </w:r>
            <w:proofErr w:type="spellStart"/>
            <w:r>
              <w:rPr>
                <w:rFonts w:asciiTheme="minorHAnsi" w:hAnsiTheme="minorHAnsi" w:cs="Calibri"/>
              </w:rPr>
              <w:t>self neglect</w:t>
            </w:r>
            <w:proofErr w:type="spellEnd"/>
            <w:r>
              <w:rPr>
                <w:rFonts w:asciiTheme="minorHAnsi" w:hAnsiTheme="minorHAnsi" w:cs="Calibri"/>
              </w:rPr>
              <w:t xml:space="preserve"> ‘toolkit’</w:t>
            </w:r>
          </w:p>
        </w:tc>
      </w:tr>
      <w:tr w:rsidR="0016727C" w14:paraId="0CC962D4" w14:textId="77777777" w:rsidTr="00425557">
        <w:tc>
          <w:tcPr>
            <w:tcW w:w="613" w:type="pct"/>
          </w:tcPr>
          <w:p w14:paraId="788167D0" w14:textId="77777777" w:rsidR="0016727C" w:rsidRDefault="0016727C" w:rsidP="00FC7AD1">
            <w:pPr>
              <w:spacing w:after="120" w:line="360" w:lineRule="auto"/>
            </w:pPr>
            <w:r>
              <w:t>5.37</w:t>
            </w:r>
          </w:p>
        </w:tc>
        <w:tc>
          <w:tcPr>
            <w:tcW w:w="4387" w:type="pct"/>
          </w:tcPr>
          <w:p w14:paraId="083FA5D4" w14:textId="7DEB05E7" w:rsidR="0016727C" w:rsidRPr="00FC7AD1"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At what point do we over-ride a patient's refusal to be treated? This can be a difficult question for a professional to answer</w:t>
            </w:r>
            <w:r>
              <w:rPr>
                <w:rFonts w:asciiTheme="minorHAnsi" w:hAnsiTheme="minorHAnsi" w:cs="Calibri"/>
              </w:rPr>
              <w:t xml:space="preserve">, </w:t>
            </w:r>
            <w:r w:rsidRPr="0059293C">
              <w:rPr>
                <w:rFonts w:asciiTheme="minorHAnsi" w:hAnsiTheme="minorHAnsi" w:cs="Calibri"/>
              </w:rPr>
              <w:t xml:space="preserve">which is why the system of supervision and support is so important to provide reassurance to staff and to ensure that action is taken which is in the best interest of the patient. </w:t>
            </w:r>
          </w:p>
        </w:tc>
      </w:tr>
      <w:tr w:rsidR="0016727C" w14:paraId="0B0A40BA" w14:textId="77777777" w:rsidTr="00425557">
        <w:tc>
          <w:tcPr>
            <w:tcW w:w="613" w:type="pct"/>
          </w:tcPr>
          <w:p w14:paraId="24E103F5" w14:textId="77777777" w:rsidR="0016727C" w:rsidRDefault="0016727C" w:rsidP="00FC7AD1">
            <w:pPr>
              <w:spacing w:after="120" w:line="360" w:lineRule="auto"/>
            </w:pPr>
            <w:r>
              <w:t>5.38</w:t>
            </w:r>
          </w:p>
        </w:tc>
        <w:tc>
          <w:tcPr>
            <w:tcW w:w="4387" w:type="pct"/>
          </w:tcPr>
          <w:p w14:paraId="25D8D904" w14:textId="3C4E605C" w:rsidR="0016727C" w:rsidRPr="0059293C" w:rsidRDefault="0016727C" w:rsidP="00FC7AD1">
            <w:pPr>
              <w:spacing w:after="120" w:line="360" w:lineRule="auto"/>
              <w:rPr>
                <w:rFonts w:cs="Calibri"/>
              </w:rPr>
            </w:pPr>
            <w:r>
              <w:rPr>
                <w:rFonts w:cs="Calibri"/>
              </w:rPr>
              <w:t>Easy access to information and</w:t>
            </w:r>
            <w:r w:rsidRPr="0059293C">
              <w:rPr>
                <w:rFonts w:cs="Calibri"/>
              </w:rPr>
              <w:t xml:space="preserve"> assessment tools (self-neglect toolkit) </w:t>
            </w:r>
            <w:r>
              <w:rPr>
                <w:rFonts w:cs="Calibri"/>
              </w:rPr>
              <w:t xml:space="preserve">is vital as part of the ongoing support given to staff within all agencies working with adults at risk, to help them maintain their professional knowledge and understanding of complex safeguarding issues. However, the questions that arise from this are; how many of the staff involved with Mr M22 know where to find this information? If staffing levels are very </w:t>
            </w:r>
            <w:proofErr w:type="gramStart"/>
            <w:r>
              <w:rPr>
                <w:rFonts w:cs="Calibri"/>
              </w:rPr>
              <w:t>low</w:t>
            </w:r>
            <w:proofErr w:type="gramEnd"/>
            <w:r>
              <w:rPr>
                <w:rFonts w:cs="Calibri"/>
              </w:rPr>
              <w:t xml:space="preserve"> do they have time to access and learn the information? Since the death of Mr M22 the community nursing service have introduced weekly micro teaching sessions to provide a protected time for staff to learn, recent sessions included self-neglect, sepsis, Mental Capacity Act (MCA) and documentation.</w:t>
            </w:r>
          </w:p>
        </w:tc>
      </w:tr>
      <w:tr w:rsidR="0016727C" w14:paraId="603A88BC" w14:textId="77777777" w:rsidTr="00425557">
        <w:tc>
          <w:tcPr>
            <w:tcW w:w="613" w:type="pct"/>
          </w:tcPr>
          <w:p w14:paraId="2361E3FB" w14:textId="77777777" w:rsidR="0016727C" w:rsidRDefault="0016727C" w:rsidP="00FC7AD1">
            <w:pPr>
              <w:spacing w:after="120" w:line="360" w:lineRule="auto"/>
            </w:pPr>
            <w:r>
              <w:t>5.39</w:t>
            </w:r>
          </w:p>
        </w:tc>
        <w:tc>
          <w:tcPr>
            <w:tcW w:w="4387" w:type="pct"/>
          </w:tcPr>
          <w:p w14:paraId="62909895" w14:textId="25D38390" w:rsidR="0016727C" w:rsidRPr="00FC7AD1" w:rsidRDefault="0016727C" w:rsidP="00FC7AD1">
            <w:pPr>
              <w:spacing w:after="120" w:line="360" w:lineRule="auto"/>
              <w:rPr>
                <w:rFonts w:ascii="Calibri" w:hAnsi="Calibri" w:cs="Calibri"/>
                <w:b/>
                <w:bCs/>
                <w:sz w:val="28"/>
                <w:szCs w:val="28"/>
                <w:u w:val="single"/>
              </w:rPr>
            </w:pPr>
            <w:r>
              <w:rPr>
                <w:rFonts w:ascii="Calibri" w:hAnsi="Calibri" w:cs="Calibri"/>
                <w:b/>
                <w:bCs/>
                <w:sz w:val="28"/>
                <w:szCs w:val="28"/>
                <w:u w:val="single"/>
              </w:rPr>
              <w:t>Carers assessment</w:t>
            </w:r>
          </w:p>
        </w:tc>
      </w:tr>
      <w:tr w:rsidR="0016727C" w14:paraId="2D8EB162" w14:textId="77777777" w:rsidTr="00425557">
        <w:tc>
          <w:tcPr>
            <w:tcW w:w="613" w:type="pct"/>
          </w:tcPr>
          <w:p w14:paraId="409C70C2" w14:textId="77777777" w:rsidR="0016727C" w:rsidRDefault="0016727C" w:rsidP="00FC7AD1">
            <w:pPr>
              <w:spacing w:after="120" w:line="360" w:lineRule="auto"/>
            </w:pPr>
            <w:r>
              <w:t>5.40</w:t>
            </w:r>
          </w:p>
        </w:tc>
        <w:tc>
          <w:tcPr>
            <w:tcW w:w="4387" w:type="pct"/>
          </w:tcPr>
          <w:p w14:paraId="7CB45786" w14:textId="3E6AF27F" w:rsidR="0016727C" w:rsidRPr="00FC7AD1" w:rsidRDefault="0016727C" w:rsidP="00FC7AD1">
            <w:pPr>
              <w:pStyle w:val="NormalWeb"/>
              <w:spacing w:before="0" w:beforeAutospacing="0" w:after="120" w:afterAutospacing="0" w:line="360" w:lineRule="auto"/>
              <w:rPr>
                <w:rFonts w:asciiTheme="minorHAnsi" w:hAnsiTheme="minorHAnsi" w:cs="Calibri"/>
              </w:rPr>
            </w:pPr>
            <w:r w:rsidRPr="0059293C">
              <w:rPr>
                <w:rFonts w:asciiTheme="minorHAnsi" w:hAnsiTheme="minorHAnsi" w:cs="Calibri"/>
              </w:rPr>
              <w:t>As part of the assessment phase of this review, the author was provided with a copy of the carers assessment completed with Mr M22’s son by Adult Social Care. It would appear to be a pro-forma type document detailing how the carer is coping with their role and is designed to assist the assessor with identifying what the carers needs are</w:t>
            </w:r>
            <w:r>
              <w:rPr>
                <w:rFonts w:asciiTheme="minorHAnsi" w:hAnsiTheme="minorHAnsi" w:cs="Calibri"/>
              </w:rPr>
              <w:t xml:space="preserve">. This helps the assessor in </w:t>
            </w:r>
            <w:r w:rsidRPr="0059293C">
              <w:rPr>
                <w:rFonts w:asciiTheme="minorHAnsi" w:hAnsiTheme="minorHAnsi" w:cs="Calibri"/>
              </w:rPr>
              <w:t xml:space="preserve">establishing what level of support is required. </w:t>
            </w:r>
          </w:p>
        </w:tc>
      </w:tr>
      <w:tr w:rsidR="0016727C" w14:paraId="5FB2F7C9" w14:textId="77777777" w:rsidTr="00425557">
        <w:tc>
          <w:tcPr>
            <w:tcW w:w="613" w:type="pct"/>
          </w:tcPr>
          <w:p w14:paraId="5637C043" w14:textId="77777777" w:rsidR="0016727C" w:rsidRDefault="0016727C" w:rsidP="00FC7AD1">
            <w:pPr>
              <w:spacing w:after="120" w:line="360" w:lineRule="auto"/>
            </w:pPr>
            <w:r>
              <w:lastRenderedPageBreak/>
              <w:t>5.41</w:t>
            </w:r>
          </w:p>
        </w:tc>
        <w:tc>
          <w:tcPr>
            <w:tcW w:w="4387" w:type="pct"/>
          </w:tcPr>
          <w:p w14:paraId="72E1E8F5" w14:textId="27E5BB0B" w:rsidR="0016727C" w:rsidRPr="0059293C" w:rsidRDefault="0016727C" w:rsidP="00FC7AD1">
            <w:pPr>
              <w:spacing w:after="120" w:line="360" w:lineRule="auto"/>
              <w:rPr>
                <w:rFonts w:cs="Calibri"/>
              </w:rPr>
            </w:pPr>
            <w:r w:rsidRPr="0059293C">
              <w:rPr>
                <w:rFonts w:cs="Calibri"/>
              </w:rPr>
              <w:t xml:space="preserve">Was </w:t>
            </w:r>
            <w:r>
              <w:rPr>
                <w:rFonts w:cs="Calibri"/>
              </w:rPr>
              <w:t xml:space="preserve">the </w:t>
            </w:r>
            <w:r w:rsidRPr="0059293C">
              <w:rPr>
                <w:rFonts w:cs="Calibri"/>
              </w:rPr>
              <w:t xml:space="preserve">son the best person to be M22's designated carer? People agree to undertake these roles </w:t>
            </w:r>
            <w:proofErr w:type="gramStart"/>
            <w:r w:rsidRPr="0059293C">
              <w:rPr>
                <w:rFonts w:cs="Calibri"/>
              </w:rPr>
              <w:t>despite the fact that</w:t>
            </w:r>
            <w:proofErr w:type="gramEnd"/>
            <w:r w:rsidRPr="0059293C">
              <w:rPr>
                <w:rFonts w:cs="Calibri"/>
              </w:rPr>
              <w:t xml:space="preserve"> they may not be the most suitable person to fulfil the role. This </w:t>
            </w:r>
            <w:r>
              <w:rPr>
                <w:rFonts w:cs="Calibri"/>
              </w:rPr>
              <w:t>can often be misguidedly</w:t>
            </w:r>
            <w:r w:rsidRPr="0059293C">
              <w:rPr>
                <w:rFonts w:cs="Calibri"/>
              </w:rPr>
              <w:t xml:space="preserve"> done out of a sense of duty or love for the person </w:t>
            </w:r>
            <w:r>
              <w:rPr>
                <w:rFonts w:cs="Calibri"/>
              </w:rPr>
              <w:t>they are</w:t>
            </w:r>
            <w:r w:rsidRPr="0059293C">
              <w:rPr>
                <w:rFonts w:cs="Calibri"/>
              </w:rPr>
              <w:t xml:space="preserve"> car</w:t>
            </w:r>
            <w:r>
              <w:rPr>
                <w:rFonts w:cs="Calibri"/>
              </w:rPr>
              <w:t>ing</w:t>
            </w:r>
            <w:r w:rsidRPr="0059293C">
              <w:rPr>
                <w:rFonts w:cs="Calibri"/>
              </w:rPr>
              <w:t xml:space="preserve"> for. </w:t>
            </w:r>
            <w:r>
              <w:rPr>
                <w:rFonts w:cs="Calibri"/>
              </w:rPr>
              <w:t xml:space="preserve">The question that therefore arises </w:t>
            </w:r>
            <w:proofErr w:type="gramStart"/>
            <w:r>
              <w:rPr>
                <w:rFonts w:cs="Calibri"/>
              </w:rPr>
              <w:t>is;</w:t>
            </w:r>
            <w:proofErr w:type="gramEnd"/>
            <w:r>
              <w:rPr>
                <w:rFonts w:cs="Calibri"/>
              </w:rPr>
              <w:t xml:space="preserve"> w</w:t>
            </w:r>
            <w:r w:rsidRPr="0059293C">
              <w:rPr>
                <w:rFonts w:cs="Calibri"/>
              </w:rPr>
              <w:t xml:space="preserve">as the amount of support provided </w:t>
            </w:r>
            <w:r>
              <w:rPr>
                <w:rFonts w:cs="Calibri"/>
              </w:rPr>
              <w:t xml:space="preserve">to Mr M22 and his son </w:t>
            </w:r>
            <w:r w:rsidRPr="0059293C">
              <w:rPr>
                <w:rFonts w:cs="Calibri"/>
              </w:rPr>
              <w:t xml:space="preserve">sufficient? </w:t>
            </w:r>
          </w:p>
        </w:tc>
      </w:tr>
      <w:tr w:rsidR="0016727C" w14:paraId="2F177241" w14:textId="77777777" w:rsidTr="00425557">
        <w:tc>
          <w:tcPr>
            <w:tcW w:w="613" w:type="pct"/>
          </w:tcPr>
          <w:p w14:paraId="6FD8D2BA" w14:textId="77777777" w:rsidR="0016727C" w:rsidRDefault="0016727C" w:rsidP="00FC7AD1">
            <w:pPr>
              <w:spacing w:after="120" w:line="360" w:lineRule="auto"/>
            </w:pPr>
            <w:r>
              <w:t>5.42</w:t>
            </w:r>
          </w:p>
        </w:tc>
        <w:tc>
          <w:tcPr>
            <w:tcW w:w="4387" w:type="pct"/>
          </w:tcPr>
          <w:p w14:paraId="1A399BB7" w14:textId="334564B9" w:rsidR="0016727C" w:rsidRPr="00FC7AD1" w:rsidRDefault="0016727C" w:rsidP="00FC7AD1">
            <w:pPr>
              <w:spacing w:after="120" w:line="360" w:lineRule="auto"/>
              <w:rPr>
                <w:rFonts w:cs="Calibri"/>
              </w:rPr>
            </w:pPr>
            <w:r w:rsidRPr="0059293C">
              <w:rPr>
                <w:rFonts w:cs="Calibri"/>
              </w:rPr>
              <w:t xml:space="preserve">The carers assessment referred to </w:t>
            </w:r>
            <w:r>
              <w:rPr>
                <w:rFonts w:cs="Calibri"/>
              </w:rPr>
              <w:t xml:space="preserve">Mr M22’s son as having </w:t>
            </w:r>
            <w:r w:rsidRPr="0059293C">
              <w:rPr>
                <w:rFonts w:cs="Calibri"/>
              </w:rPr>
              <w:t xml:space="preserve">learning difficulties and </w:t>
            </w:r>
            <w:r>
              <w:rPr>
                <w:rFonts w:cs="Calibri"/>
              </w:rPr>
              <w:t xml:space="preserve">asks if being a carer is having an adverse impact upon his </w:t>
            </w:r>
            <w:r w:rsidRPr="0059293C">
              <w:rPr>
                <w:rFonts w:cs="Calibri"/>
              </w:rPr>
              <w:t>mental health</w:t>
            </w:r>
            <w:r>
              <w:rPr>
                <w:rFonts w:cs="Calibri"/>
              </w:rPr>
              <w:t>. Whilst the answer to that question affirmed that the role was having an impact upon the mental health of Mr M22’s son, there is no mention within the assessment of how that risk factor was mitigated. The main conclusion from the</w:t>
            </w:r>
            <w:r w:rsidRPr="0059293C">
              <w:rPr>
                <w:rFonts w:cs="Calibri"/>
              </w:rPr>
              <w:t xml:space="preserve"> carers assessment</w:t>
            </w:r>
            <w:r>
              <w:rPr>
                <w:rFonts w:cs="Calibri"/>
              </w:rPr>
              <w:t xml:space="preserve"> seems to be</w:t>
            </w:r>
            <w:r w:rsidRPr="0059293C">
              <w:rPr>
                <w:rFonts w:cs="Calibri"/>
              </w:rPr>
              <w:t xml:space="preserve"> in relation to the provision of</w:t>
            </w:r>
            <w:r>
              <w:rPr>
                <w:rFonts w:cs="Calibri"/>
              </w:rPr>
              <w:t xml:space="preserve"> </w:t>
            </w:r>
            <w:r w:rsidRPr="0059293C">
              <w:rPr>
                <w:rFonts w:cs="Calibri"/>
              </w:rPr>
              <w:t>money</w:t>
            </w:r>
            <w:r>
              <w:rPr>
                <w:rFonts w:cs="Calibri"/>
              </w:rPr>
              <w:t>,</w:t>
            </w:r>
            <w:r w:rsidRPr="0059293C">
              <w:rPr>
                <w:rFonts w:cs="Calibri"/>
              </w:rPr>
              <w:t xml:space="preserve"> so that Mr M22’s son could </w:t>
            </w:r>
            <w:r>
              <w:rPr>
                <w:rFonts w:cs="Calibri"/>
              </w:rPr>
              <w:t xml:space="preserve">get some respite by </w:t>
            </w:r>
            <w:r w:rsidRPr="0059293C">
              <w:rPr>
                <w:rFonts w:cs="Calibri"/>
              </w:rPr>
              <w:t>go</w:t>
            </w:r>
            <w:r>
              <w:rPr>
                <w:rFonts w:cs="Calibri"/>
              </w:rPr>
              <w:t>ing</w:t>
            </w:r>
            <w:r w:rsidRPr="0059293C">
              <w:rPr>
                <w:rFonts w:cs="Calibri"/>
              </w:rPr>
              <w:t xml:space="preserve"> away for a weekend. </w:t>
            </w:r>
          </w:p>
        </w:tc>
      </w:tr>
      <w:tr w:rsidR="0016727C" w14:paraId="74DF7BF3" w14:textId="77777777" w:rsidTr="00425557">
        <w:tc>
          <w:tcPr>
            <w:tcW w:w="613" w:type="pct"/>
          </w:tcPr>
          <w:p w14:paraId="3186F8FD" w14:textId="77777777" w:rsidR="0016727C" w:rsidRPr="00F37555" w:rsidRDefault="0016727C" w:rsidP="00FC7AD1">
            <w:pPr>
              <w:spacing w:after="120" w:line="360" w:lineRule="auto"/>
              <w:rPr>
                <w:rFonts w:cstheme="majorHAnsi"/>
              </w:rPr>
            </w:pPr>
            <w:r>
              <w:rPr>
                <w:rFonts w:cstheme="majorHAnsi"/>
              </w:rPr>
              <w:t>5.43</w:t>
            </w:r>
          </w:p>
        </w:tc>
        <w:tc>
          <w:tcPr>
            <w:tcW w:w="4387" w:type="pct"/>
          </w:tcPr>
          <w:p w14:paraId="115E974F" w14:textId="0835CAE0" w:rsidR="0016727C" w:rsidRPr="00F37555" w:rsidRDefault="0016727C" w:rsidP="00FC7AD1">
            <w:pPr>
              <w:spacing w:after="120" w:line="360" w:lineRule="auto"/>
              <w:rPr>
                <w:rFonts w:cstheme="majorHAnsi"/>
              </w:rPr>
            </w:pPr>
            <w:r w:rsidRPr="00F37555">
              <w:rPr>
                <w:rFonts w:cstheme="majorHAnsi"/>
              </w:rPr>
              <w:t xml:space="preserve">Other </w:t>
            </w:r>
            <w:r>
              <w:rPr>
                <w:rFonts w:cstheme="majorHAnsi"/>
              </w:rPr>
              <w:t>support had been put in place,</w:t>
            </w:r>
            <w:r w:rsidRPr="00F37555">
              <w:rPr>
                <w:rFonts w:cstheme="majorHAnsi"/>
              </w:rPr>
              <w:t xml:space="preserve"> which w</w:t>
            </w:r>
            <w:r>
              <w:rPr>
                <w:rFonts w:cstheme="majorHAnsi"/>
              </w:rPr>
              <w:t>as</w:t>
            </w:r>
            <w:r w:rsidRPr="00F37555">
              <w:rPr>
                <w:rFonts w:cstheme="majorHAnsi"/>
              </w:rPr>
              <w:t xml:space="preserve"> not included within the carers assessment</w:t>
            </w:r>
            <w:r>
              <w:rPr>
                <w:rFonts w:cstheme="majorHAnsi"/>
              </w:rPr>
              <w:t>,</w:t>
            </w:r>
            <w:r w:rsidRPr="00F37555">
              <w:rPr>
                <w:rFonts w:cstheme="majorHAnsi"/>
              </w:rPr>
              <w:t xml:space="preserve"> or </w:t>
            </w:r>
            <w:r>
              <w:rPr>
                <w:rFonts w:cstheme="majorHAnsi"/>
              </w:rPr>
              <w:t xml:space="preserve">supplied to the author </w:t>
            </w:r>
            <w:r w:rsidRPr="00F37555">
              <w:rPr>
                <w:rFonts w:cstheme="majorHAnsi"/>
              </w:rPr>
              <w:t>as part of this review. Within the learning event it was dis</w:t>
            </w:r>
            <w:r>
              <w:rPr>
                <w:rFonts w:cstheme="majorHAnsi"/>
              </w:rPr>
              <w:t>closed</w:t>
            </w:r>
            <w:r w:rsidRPr="00F37555">
              <w:rPr>
                <w:rFonts w:cstheme="majorHAnsi"/>
              </w:rPr>
              <w:t xml:space="preserve"> that </w:t>
            </w:r>
            <w:r>
              <w:rPr>
                <w:rFonts w:cstheme="majorHAnsi"/>
              </w:rPr>
              <w:t xml:space="preserve">Mr </w:t>
            </w:r>
            <w:r w:rsidRPr="00F37555">
              <w:rPr>
                <w:rFonts w:cstheme="majorHAnsi"/>
              </w:rPr>
              <w:t>M22’s son received support from Brighter Futures</w:t>
            </w:r>
            <w:r>
              <w:rPr>
                <w:rFonts w:cstheme="majorHAnsi"/>
              </w:rPr>
              <w:t xml:space="preserve">, which is a support organisation for people with learning difficulties. It was also noted within the Practitioner Learning Event that Mr M22’s son was </w:t>
            </w:r>
            <w:r w:rsidRPr="00EC4BA3">
              <w:rPr>
                <w:rFonts w:cstheme="majorHAnsi"/>
                <w:i/>
                <w:iCs/>
              </w:rPr>
              <w:t>‘not the right person’</w:t>
            </w:r>
            <w:r>
              <w:rPr>
                <w:rFonts w:cstheme="majorHAnsi"/>
              </w:rPr>
              <w:t xml:space="preserve"> to care for him, yet he was allowed to carry on in this role. </w:t>
            </w:r>
          </w:p>
        </w:tc>
      </w:tr>
      <w:tr w:rsidR="0016727C" w14:paraId="1C179765" w14:textId="77777777" w:rsidTr="00425557">
        <w:tc>
          <w:tcPr>
            <w:tcW w:w="613" w:type="pct"/>
          </w:tcPr>
          <w:p w14:paraId="3CA319B4" w14:textId="77777777" w:rsidR="0016727C" w:rsidRPr="00F37555" w:rsidRDefault="0016727C" w:rsidP="00FC7AD1">
            <w:pPr>
              <w:spacing w:after="120" w:line="360" w:lineRule="auto"/>
              <w:rPr>
                <w:rFonts w:cstheme="majorHAnsi"/>
              </w:rPr>
            </w:pPr>
            <w:r>
              <w:rPr>
                <w:rFonts w:cstheme="majorHAnsi"/>
              </w:rPr>
              <w:t>5.44</w:t>
            </w:r>
          </w:p>
        </w:tc>
        <w:tc>
          <w:tcPr>
            <w:tcW w:w="4387" w:type="pct"/>
          </w:tcPr>
          <w:p w14:paraId="581DF51E" w14:textId="77777777" w:rsidR="0016727C" w:rsidRPr="00F37555" w:rsidRDefault="0016727C" w:rsidP="00FC7AD1">
            <w:pPr>
              <w:pStyle w:val="NormalWeb"/>
              <w:spacing w:before="0" w:beforeAutospacing="0" w:after="120" w:afterAutospacing="0" w:line="360" w:lineRule="auto"/>
              <w:rPr>
                <w:rFonts w:asciiTheme="minorHAnsi" w:hAnsiTheme="minorHAnsi" w:cstheme="majorHAnsi"/>
              </w:rPr>
            </w:pPr>
            <w:r w:rsidRPr="00F37555">
              <w:rPr>
                <w:rFonts w:asciiTheme="minorHAnsi" w:hAnsiTheme="minorHAnsi" w:cstheme="majorHAnsi"/>
              </w:rPr>
              <w:t>Mr M22 wanted his son to have his own life</w:t>
            </w:r>
            <w:r>
              <w:rPr>
                <w:rFonts w:asciiTheme="minorHAnsi" w:hAnsiTheme="minorHAnsi" w:cstheme="majorHAnsi"/>
              </w:rPr>
              <w:t>,</w:t>
            </w:r>
            <w:r w:rsidRPr="00F37555">
              <w:rPr>
                <w:rFonts w:asciiTheme="minorHAnsi" w:hAnsiTheme="minorHAnsi" w:cstheme="majorHAnsi"/>
              </w:rPr>
              <w:t xml:space="preserve"> however Mr M22</w:t>
            </w:r>
            <w:r>
              <w:rPr>
                <w:rFonts w:asciiTheme="minorHAnsi" w:hAnsiTheme="minorHAnsi" w:cstheme="majorHAnsi"/>
              </w:rPr>
              <w:t>’</w:t>
            </w:r>
            <w:r w:rsidRPr="00F37555">
              <w:rPr>
                <w:rFonts w:asciiTheme="minorHAnsi" w:hAnsiTheme="minorHAnsi" w:cstheme="majorHAnsi"/>
              </w:rPr>
              <w:t xml:space="preserve">s son did not feel like he could walk away and leave his father </w:t>
            </w:r>
            <w:r>
              <w:rPr>
                <w:rFonts w:asciiTheme="minorHAnsi" w:hAnsiTheme="minorHAnsi" w:cstheme="majorHAnsi"/>
              </w:rPr>
              <w:t xml:space="preserve">in the condition that he was in, </w:t>
            </w:r>
            <w:r w:rsidRPr="00F37555">
              <w:rPr>
                <w:rFonts w:asciiTheme="minorHAnsi" w:hAnsiTheme="minorHAnsi" w:cstheme="majorHAnsi"/>
              </w:rPr>
              <w:t xml:space="preserve">and </w:t>
            </w:r>
            <w:r>
              <w:rPr>
                <w:rFonts w:asciiTheme="minorHAnsi" w:hAnsiTheme="minorHAnsi" w:cstheme="majorHAnsi"/>
              </w:rPr>
              <w:t xml:space="preserve">as such he </w:t>
            </w:r>
            <w:r w:rsidRPr="00F37555">
              <w:rPr>
                <w:rFonts w:asciiTheme="minorHAnsi" w:hAnsiTheme="minorHAnsi" w:cstheme="majorHAnsi"/>
              </w:rPr>
              <w:t>carr</w:t>
            </w:r>
            <w:r>
              <w:rPr>
                <w:rFonts w:asciiTheme="minorHAnsi" w:hAnsiTheme="minorHAnsi" w:cstheme="majorHAnsi"/>
              </w:rPr>
              <w:t xml:space="preserve">ied </w:t>
            </w:r>
            <w:r w:rsidRPr="00F37555">
              <w:rPr>
                <w:rFonts w:asciiTheme="minorHAnsi" w:hAnsiTheme="minorHAnsi" w:cstheme="majorHAnsi"/>
              </w:rPr>
              <w:t xml:space="preserve">on being his </w:t>
            </w:r>
            <w:proofErr w:type="spellStart"/>
            <w:r w:rsidRPr="00F37555">
              <w:rPr>
                <w:rFonts w:asciiTheme="minorHAnsi" w:hAnsiTheme="minorHAnsi" w:cstheme="majorHAnsi"/>
              </w:rPr>
              <w:t>carer</w:t>
            </w:r>
            <w:proofErr w:type="spellEnd"/>
            <w:r w:rsidRPr="00F37555">
              <w:rPr>
                <w:rFonts w:asciiTheme="minorHAnsi" w:hAnsiTheme="minorHAnsi" w:cstheme="majorHAnsi"/>
              </w:rPr>
              <w:t xml:space="preserve">. </w:t>
            </w:r>
          </w:p>
          <w:p w14:paraId="10515ADD" w14:textId="77777777" w:rsidR="0016727C" w:rsidRPr="00F37555" w:rsidRDefault="0016727C" w:rsidP="00FC7AD1">
            <w:pPr>
              <w:pStyle w:val="NormalWeb"/>
              <w:spacing w:before="0" w:beforeAutospacing="0" w:after="120" w:afterAutospacing="0" w:line="360" w:lineRule="auto"/>
              <w:rPr>
                <w:rFonts w:asciiTheme="minorHAnsi" w:hAnsiTheme="minorHAnsi" w:cstheme="majorHAnsi"/>
              </w:rPr>
            </w:pPr>
          </w:p>
        </w:tc>
      </w:tr>
      <w:tr w:rsidR="0016727C" w14:paraId="7006C092" w14:textId="77777777" w:rsidTr="00425557">
        <w:tc>
          <w:tcPr>
            <w:tcW w:w="613" w:type="pct"/>
          </w:tcPr>
          <w:p w14:paraId="5017BFA1" w14:textId="77777777" w:rsidR="0016727C" w:rsidRPr="00F37555" w:rsidRDefault="0016727C" w:rsidP="00FC7AD1">
            <w:pPr>
              <w:spacing w:after="120" w:line="360" w:lineRule="auto"/>
              <w:rPr>
                <w:rFonts w:cstheme="majorHAnsi"/>
              </w:rPr>
            </w:pPr>
            <w:r>
              <w:rPr>
                <w:rFonts w:cstheme="majorHAnsi"/>
              </w:rPr>
              <w:t>5.45</w:t>
            </w:r>
          </w:p>
        </w:tc>
        <w:tc>
          <w:tcPr>
            <w:tcW w:w="4387" w:type="pct"/>
          </w:tcPr>
          <w:p w14:paraId="5F663B88" w14:textId="12B4B9A9" w:rsidR="0016727C" w:rsidRPr="00F37555" w:rsidRDefault="0016727C" w:rsidP="00FC7AD1">
            <w:pPr>
              <w:spacing w:after="120" w:line="360" w:lineRule="auto"/>
              <w:rPr>
                <w:rFonts w:cstheme="majorHAnsi"/>
              </w:rPr>
            </w:pPr>
            <w:r w:rsidRPr="00F37555">
              <w:rPr>
                <w:rFonts w:cstheme="majorHAnsi"/>
              </w:rPr>
              <w:t xml:space="preserve">Mr M22’s son may not have been the best person to undertake the role, but measures were being taken to further support him. This included help and support from Brighter Futures however, the most </w:t>
            </w:r>
            <w:r>
              <w:rPr>
                <w:rFonts w:cstheme="majorHAnsi"/>
              </w:rPr>
              <w:t>beneficial</w:t>
            </w:r>
            <w:r w:rsidRPr="00F37555">
              <w:rPr>
                <w:rFonts w:cstheme="majorHAnsi"/>
              </w:rPr>
              <w:t xml:space="preserve"> help was th</w:t>
            </w:r>
            <w:r>
              <w:rPr>
                <w:rFonts w:cstheme="majorHAnsi"/>
              </w:rPr>
              <w:t>e provision of</w:t>
            </w:r>
            <w:r w:rsidRPr="00F37555">
              <w:rPr>
                <w:rFonts w:cstheme="majorHAnsi"/>
              </w:rPr>
              <w:t xml:space="preserve"> adapted accommodation that would have allowed Mr M22 to live more independently. </w:t>
            </w:r>
          </w:p>
        </w:tc>
      </w:tr>
      <w:tr w:rsidR="0016727C" w14:paraId="4ADF5917" w14:textId="77777777" w:rsidTr="00425557">
        <w:tc>
          <w:tcPr>
            <w:tcW w:w="613" w:type="pct"/>
          </w:tcPr>
          <w:p w14:paraId="4E169E05" w14:textId="77777777" w:rsidR="0016727C" w:rsidRPr="00F37555" w:rsidRDefault="0016727C" w:rsidP="00FC7AD1">
            <w:pPr>
              <w:spacing w:after="120" w:line="360" w:lineRule="auto"/>
              <w:rPr>
                <w:rFonts w:cstheme="majorHAnsi"/>
              </w:rPr>
            </w:pPr>
            <w:r>
              <w:rPr>
                <w:rFonts w:cstheme="majorHAnsi"/>
              </w:rPr>
              <w:lastRenderedPageBreak/>
              <w:t>5.46</w:t>
            </w:r>
          </w:p>
        </w:tc>
        <w:tc>
          <w:tcPr>
            <w:tcW w:w="4387" w:type="pct"/>
          </w:tcPr>
          <w:p w14:paraId="61D2474B" w14:textId="77777777" w:rsidR="0016727C" w:rsidRDefault="0016727C" w:rsidP="00FC7AD1">
            <w:pPr>
              <w:spacing w:after="120" w:line="360" w:lineRule="auto"/>
              <w:rPr>
                <w:rFonts w:cstheme="majorHAnsi"/>
              </w:rPr>
            </w:pPr>
            <w:r w:rsidRPr="00F37555">
              <w:rPr>
                <w:rFonts w:cstheme="majorHAnsi"/>
              </w:rPr>
              <w:t xml:space="preserve">It was </w:t>
            </w:r>
            <w:r>
              <w:rPr>
                <w:rFonts w:cstheme="majorHAnsi"/>
              </w:rPr>
              <w:t>Mr M22’s</w:t>
            </w:r>
            <w:r w:rsidRPr="00F37555">
              <w:rPr>
                <w:rFonts w:cstheme="majorHAnsi"/>
              </w:rPr>
              <w:t xml:space="preserve"> intention that once he was established within his new home that his son would then have more freedom and </w:t>
            </w:r>
            <w:r>
              <w:rPr>
                <w:rFonts w:cstheme="majorHAnsi"/>
              </w:rPr>
              <w:t xml:space="preserve">could </w:t>
            </w:r>
            <w:r w:rsidRPr="00F37555">
              <w:rPr>
                <w:rFonts w:cstheme="majorHAnsi"/>
              </w:rPr>
              <w:t xml:space="preserve">take a step back from being his </w:t>
            </w:r>
            <w:proofErr w:type="spellStart"/>
            <w:r w:rsidRPr="00F37555">
              <w:rPr>
                <w:rFonts w:cstheme="majorHAnsi"/>
              </w:rPr>
              <w:t>carer</w:t>
            </w:r>
            <w:proofErr w:type="spellEnd"/>
            <w:r w:rsidRPr="00F37555">
              <w:rPr>
                <w:rFonts w:cstheme="majorHAnsi"/>
              </w:rPr>
              <w:t xml:space="preserve">. Unfortunately, Mr M22 died shortly after moving into this </w:t>
            </w:r>
            <w:r>
              <w:rPr>
                <w:rFonts w:cstheme="majorHAnsi"/>
              </w:rPr>
              <w:t xml:space="preserve">new </w:t>
            </w:r>
            <w:r w:rsidRPr="00F37555">
              <w:rPr>
                <w:rFonts w:cstheme="majorHAnsi"/>
              </w:rPr>
              <w:t xml:space="preserve">accommodation. </w:t>
            </w:r>
          </w:p>
          <w:p w14:paraId="0F45CF0F" w14:textId="77777777" w:rsidR="00425557" w:rsidRDefault="00425557" w:rsidP="00FC7AD1">
            <w:pPr>
              <w:spacing w:after="120" w:line="360" w:lineRule="auto"/>
              <w:rPr>
                <w:rFonts w:cstheme="majorHAnsi"/>
              </w:rPr>
            </w:pPr>
          </w:p>
          <w:p w14:paraId="58122341" w14:textId="3A434A68" w:rsidR="00425557" w:rsidRPr="00F37555" w:rsidRDefault="00425557" w:rsidP="00FC7AD1">
            <w:pPr>
              <w:spacing w:after="120" w:line="360" w:lineRule="auto"/>
              <w:rPr>
                <w:rFonts w:cstheme="majorHAnsi"/>
              </w:rPr>
            </w:pPr>
          </w:p>
        </w:tc>
      </w:tr>
      <w:tr w:rsidR="0016727C" w14:paraId="2EEE5DBF" w14:textId="77777777" w:rsidTr="00425557">
        <w:tc>
          <w:tcPr>
            <w:tcW w:w="613" w:type="pct"/>
          </w:tcPr>
          <w:p w14:paraId="7569B772" w14:textId="77777777" w:rsidR="0016727C" w:rsidRPr="004F4011" w:rsidRDefault="0016727C" w:rsidP="00FC7AD1">
            <w:pPr>
              <w:spacing w:after="120" w:line="360" w:lineRule="auto"/>
              <w:rPr>
                <w:b/>
                <w:bCs/>
                <w:sz w:val="36"/>
                <w:szCs w:val="36"/>
              </w:rPr>
            </w:pPr>
            <w:r w:rsidRPr="004F4011">
              <w:rPr>
                <w:b/>
                <w:bCs/>
                <w:sz w:val="36"/>
                <w:szCs w:val="36"/>
              </w:rPr>
              <w:t>6</w:t>
            </w:r>
          </w:p>
        </w:tc>
        <w:tc>
          <w:tcPr>
            <w:tcW w:w="4387" w:type="pct"/>
          </w:tcPr>
          <w:p w14:paraId="2FC4E0BC" w14:textId="428A5298" w:rsidR="0016727C" w:rsidRPr="00FC7AD1" w:rsidRDefault="0016727C" w:rsidP="00FC7AD1">
            <w:pPr>
              <w:spacing w:after="120" w:line="360" w:lineRule="auto"/>
              <w:rPr>
                <w:b/>
                <w:bCs/>
                <w:sz w:val="36"/>
                <w:szCs w:val="36"/>
              </w:rPr>
            </w:pPr>
            <w:r w:rsidRPr="004F4011">
              <w:rPr>
                <w:b/>
                <w:bCs/>
                <w:sz w:val="36"/>
                <w:szCs w:val="36"/>
              </w:rPr>
              <w:t xml:space="preserve">Service Improvements </w:t>
            </w:r>
          </w:p>
        </w:tc>
      </w:tr>
      <w:tr w:rsidR="0016727C" w14:paraId="138F8CF3" w14:textId="77777777" w:rsidTr="00425557">
        <w:tc>
          <w:tcPr>
            <w:tcW w:w="613" w:type="pct"/>
          </w:tcPr>
          <w:p w14:paraId="098F2CE0" w14:textId="77777777" w:rsidR="0016727C" w:rsidRPr="00947FB0" w:rsidRDefault="0016727C" w:rsidP="00FC7AD1">
            <w:pPr>
              <w:spacing w:after="120" w:line="360" w:lineRule="auto"/>
            </w:pPr>
            <w:r w:rsidRPr="00947FB0">
              <w:t>6.1</w:t>
            </w:r>
          </w:p>
        </w:tc>
        <w:tc>
          <w:tcPr>
            <w:tcW w:w="4387" w:type="pct"/>
          </w:tcPr>
          <w:p w14:paraId="62167B92" w14:textId="4F8F70C0" w:rsidR="0016727C" w:rsidRPr="00FC7AD1" w:rsidRDefault="0016727C" w:rsidP="00FC7AD1">
            <w:pPr>
              <w:pStyle w:val="CommentText"/>
              <w:spacing w:after="120" w:line="360" w:lineRule="auto"/>
              <w:rPr>
                <w:sz w:val="24"/>
                <w:szCs w:val="24"/>
              </w:rPr>
            </w:pPr>
            <w:r w:rsidRPr="003923FB">
              <w:rPr>
                <w:sz w:val="24"/>
                <w:szCs w:val="24"/>
              </w:rPr>
              <w:t>There is clearly a need to maintain good communication between different services</w:t>
            </w:r>
            <w:r>
              <w:rPr>
                <w:sz w:val="24"/>
                <w:szCs w:val="24"/>
              </w:rPr>
              <w:t xml:space="preserve"> and agencies</w:t>
            </w:r>
            <w:r w:rsidRPr="003923FB">
              <w:rPr>
                <w:sz w:val="24"/>
                <w:szCs w:val="24"/>
              </w:rPr>
              <w:t xml:space="preserve">. Within the </w:t>
            </w:r>
            <w:r>
              <w:rPr>
                <w:sz w:val="24"/>
                <w:szCs w:val="24"/>
              </w:rPr>
              <w:t>Practitioner L</w:t>
            </w:r>
            <w:r w:rsidRPr="003923FB">
              <w:rPr>
                <w:sz w:val="24"/>
                <w:szCs w:val="24"/>
              </w:rPr>
              <w:t xml:space="preserve">earning </w:t>
            </w:r>
            <w:r>
              <w:rPr>
                <w:sz w:val="24"/>
                <w:szCs w:val="24"/>
              </w:rPr>
              <w:t>E</w:t>
            </w:r>
            <w:r w:rsidRPr="003923FB">
              <w:rPr>
                <w:sz w:val="24"/>
                <w:szCs w:val="24"/>
              </w:rPr>
              <w:t>vent</w:t>
            </w:r>
            <w:r>
              <w:rPr>
                <w:sz w:val="24"/>
                <w:szCs w:val="24"/>
              </w:rPr>
              <w:t xml:space="preserve">, facilitated as part of this review, </w:t>
            </w:r>
            <w:r w:rsidRPr="003923FB">
              <w:rPr>
                <w:sz w:val="24"/>
                <w:szCs w:val="24"/>
              </w:rPr>
              <w:t xml:space="preserve">it was apparent that </w:t>
            </w:r>
            <w:proofErr w:type="gramStart"/>
            <w:r w:rsidRPr="003923FB">
              <w:rPr>
                <w:sz w:val="24"/>
                <w:szCs w:val="24"/>
              </w:rPr>
              <w:t>a number of</w:t>
            </w:r>
            <w:proofErr w:type="gramEnd"/>
            <w:r w:rsidRPr="003923FB">
              <w:rPr>
                <w:sz w:val="24"/>
                <w:szCs w:val="24"/>
              </w:rPr>
              <w:t xml:space="preserve"> staff present were frustrated with the</w:t>
            </w:r>
            <w:r>
              <w:rPr>
                <w:sz w:val="24"/>
                <w:szCs w:val="24"/>
              </w:rPr>
              <w:t>ir</w:t>
            </w:r>
            <w:r w:rsidRPr="003923FB">
              <w:rPr>
                <w:sz w:val="24"/>
                <w:szCs w:val="24"/>
              </w:rPr>
              <w:t xml:space="preserve"> inability to cross check patient records</w:t>
            </w:r>
            <w:r>
              <w:rPr>
                <w:sz w:val="24"/>
                <w:szCs w:val="24"/>
              </w:rPr>
              <w:t xml:space="preserve"> across</w:t>
            </w:r>
            <w:r w:rsidRPr="003923FB">
              <w:rPr>
                <w:sz w:val="24"/>
                <w:szCs w:val="24"/>
              </w:rPr>
              <w:t xml:space="preserve"> different agencies and departments. They stated that this was an ongoing issue </w:t>
            </w:r>
            <w:r>
              <w:rPr>
                <w:sz w:val="24"/>
                <w:szCs w:val="24"/>
              </w:rPr>
              <w:t>which</w:t>
            </w:r>
            <w:r w:rsidRPr="003923FB">
              <w:rPr>
                <w:sz w:val="24"/>
                <w:szCs w:val="24"/>
              </w:rPr>
              <w:t xml:space="preserve"> hampered their attempts to provide the comprehensive holistic care they wanted to deliver to their patients. </w:t>
            </w:r>
          </w:p>
        </w:tc>
      </w:tr>
      <w:tr w:rsidR="0016727C" w14:paraId="2EACFF15" w14:textId="77777777" w:rsidTr="00425557">
        <w:tc>
          <w:tcPr>
            <w:tcW w:w="613" w:type="pct"/>
          </w:tcPr>
          <w:p w14:paraId="051EF1E4" w14:textId="77777777" w:rsidR="0016727C" w:rsidRPr="00947FB0" w:rsidRDefault="0016727C" w:rsidP="00FC7AD1">
            <w:pPr>
              <w:spacing w:after="120" w:line="360" w:lineRule="auto"/>
            </w:pPr>
            <w:r>
              <w:t>6.2</w:t>
            </w:r>
          </w:p>
        </w:tc>
        <w:tc>
          <w:tcPr>
            <w:tcW w:w="4387" w:type="pct"/>
          </w:tcPr>
          <w:p w14:paraId="1AA7B3E4" w14:textId="4CE5664B" w:rsidR="0016727C" w:rsidRPr="003923FB" w:rsidRDefault="0016727C" w:rsidP="00FC7AD1">
            <w:pPr>
              <w:pStyle w:val="CommentText"/>
              <w:spacing w:after="120" w:line="360" w:lineRule="auto"/>
              <w:rPr>
                <w:sz w:val="24"/>
                <w:szCs w:val="24"/>
              </w:rPr>
            </w:pPr>
            <w:r>
              <w:rPr>
                <w:sz w:val="24"/>
                <w:szCs w:val="24"/>
              </w:rPr>
              <w:t xml:space="preserve">There were frequent examples cited where staff stated that they were unaware that patients they were caring for in the community had been admitted to the hospital, </w:t>
            </w:r>
            <w:proofErr w:type="gramStart"/>
            <w:r>
              <w:rPr>
                <w:sz w:val="24"/>
                <w:szCs w:val="24"/>
              </w:rPr>
              <w:t>and also</w:t>
            </w:r>
            <w:proofErr w:type="gramEnd"/>
            <w:r>
              <w:rPr>
                <w:sz w:val="24"/>
                <w:szCs w:val="24"/>
              </w:rPr>
              <w:t xml:space="preserve"> that there were frequently delays in them being notifying when those patients were later discharged back to the community.  This resulted in time being wasted trying to locate a patient (in the hospital) and community services were not being notified promptly when patients were discharged home. This resulted in a disconnect between the treatment supplied to these patients. </w:t>
            </w:r>
          </w:p>
        </w:tc>
      </w:tr>
      <w:tr w:rsidR="0016727C" w14:paraId="549F4C50" w14:textId="77777777" w:rsidTr="00425557">
        <w:tc>
          <w:tcPr>
            <w:tcW w:w="613" w:type="pct"/>
          </w:tcPr>
          <w:p w14:paraId="3DC28685" w14:textId="77777777" w:rsidR="0016727C" w:rsidRPr="00947FB0" w:rsidRDefault="0016727C" w:rsidP="00FC7AD1">
            <w:pPr>
              <w:spacing w:after="120" w:line="360" w:lineRule="auto"/>
            </w:pPr>
            <w:r>
              <w:t>6.3</w:t>
            </w:r>
          </w:p>
        </w:tc>
        <w:tc>
          <w:tcPr>
            <w:tcW w:w="4387" w:type="pct"/>
          </w:tcPr>
          <w:p w14:paraId="68886BE0" w14:textId="17921E58" w:rsidR="0016727C" w:rsidRPr="00CD1B02" w:rsidRDefault="0016727C" w:rsidP="00FC7AD1">
            <w:pPr>
              <w:pStyle w:val="CommentText"/>
              <w:spacing w:after="120" w:line="360" w:lineRule="auto"/>
              <w:rPr>
                <w:sz w:val="24"/>
                <w:szCs w:val="24"/>
                <w:shd w:val="clear" w:color="auto" w:fill="FFFFFF"/>
              </w:rPr>
            </w:pPr>
            <w:r w:rsidRPr="003923FB">
              <w:rPr>
                <w:sz w:val="24"/>
                <w:szCs w:val="24"/>
              </w:rPr>
              <w:t>The author is aware that other healthcare trusts within England and Wales have introduced</w:t>
            </w:r>
            <w:r w:rsidRPr="003923FB">
              <w:rPr>
                <w:sz w:val="24"/>
                <w:szCs w:val="24"/>
                <w:shd w:val="clear" w:color="auto" w:fill="FFFFFF"/>
              </w:rPr>
              <w:t> Health Information Exchange projects</w:t>
            </w:r>
            <w:r>
              <w:rPr>
                <w:sz w:val="24"/>
                <w:szCs w:val="24"/>
                <w:shd w:val="clear" w:color="auto" w:fill="FFFFFF"/>
              </w:rPr>
              <w:t>,</w:t>
            </w:r>
            <w:r w:rsidRPr="003923FB">
              <w:rPr>
                <w:sz w:val="24"/>
                <w:szCs w:val="24"/>
                <w:shd w:val="clear" w:color="auto" w:fill="FFFFFF"/>
              </w:rPr>
              <w:t xml:space="preserve"> which have resulted in better information sharing across different agencies. This enables access to joined-up care records providing a view of a </w:t>
            </w:r>
            <w:r>
              <w:rPr>
                <w:sz w:val="24"/>
                <w:szCs w:val="24"/>
                <w:shd w:val="clear" w:color="auto" w:fill="FFFFFF"/>
              </w:rPr>
              <w:t>patient’</w:t>
            </w:r>
            <w:r w:rsidRPr="003923FB">
              <w:rPr>
                <w:sz w:val="24"/>
                <w:szCs w:val="24"/>
                <w:shd w:val="clear" w:color="auto" w:fill="FFFFFF"/>
              </w:rPr>
              <w:t>s health and care history, current and past medications and a summary of previous events and episodes of care</w:t>
            </w:r>
            <w:r>
              <w:rPr>
                <w:sz w:val="24"/>
                <w:szCs w:val="24"/>
                <w:shd w:val="clear" w:color="auto" w:fill="FFFFFF"/>
              </w:rPr>
              <w:t>,</w:t>
            </w:r>
            <w:r w:rsidRPr="003923FB">
              <w:rPr>
                <w:sz w:val="24"/>
                <w:szCs w:val="24"/>
                <w:shd w:val="clear" w:color="auto" w:fill="FFFFFF"/>
              </w:rPr>
              <w:t xml:space="preserve"> as well as discharge summaries and clinic letters. </w:t>
            </w:r>
          </w:p>
        </w:tc>
      </w:tr>
      <w:tr w:rsidR="0016727C" w14:paraId="113674CE" w14:textId="77777777" w:rsidTr="00425557">
        <w:tc>
          <w:tcPr>
            <w:tcW w:w="613" w:type="pct"/>
          </w:tcPr>
          <w:p w14:paraId="7E3F6E07" w14:textId="77777777" w:rsidR="0016727C" w:rsidRPr="00947FB0" w:rsidRDefault="0016727C" w:rsidP="00FC7AD1">
            <w:pPr>
              <w:spacing w:after="120" w:line="360" w:lineRule="auto"/>
            </w:pPr>
            <w:r>
              <w:lastRenderedPageBreak/>
              <w:t>6.4</w:t>
            </w:r>
          </w:p>
        </w:tc>
        <w:tc>
          <w:tcPr>
            <w:tcW w:w="4387" w:type="pct"/>
          </w:tcPr>
          <w:p w14:paraId="0AF26C6E" w14:textId="5BA2DA4D" w:rsidR="0016727C" w:rsidRPr="003923FB" w:rsidRDefault="0016727C" w:rsidP="00FC7AD1">
            <w:pPr>
              <w:pStyle w:val="CommentText"/>
              <w:spacing w:after="120" w:line="360" w:lineRule="auto"/>
              <w:rPr>
                <w:sz w:val="24"/>
                <w:szCs w:val="24"/>
              </w:rPr>
            </w:pPr>
            <w:r w:rsidRPr="003923FB">
              <w:rPr>
                <w:sz w:val="24"/>
                <w:szCs w:val="24"/>
              </w:rPr>
              <w:t xml:space="preserve">There are several limitations with the system (information may not be live), however if something similar had been in place at the time of Mr M22s death it may have assisted professionals with their risk assessments and subsequent decision making. </w:t>
            </w:r>
          </w:p>
        </w:tc>
      </w:tr>
      <w:tr w:rsidR="0016727C" w14:paraId="758AFE00" w14:textId="77777777" w:rsidTr="00425557">
        <w:tc>
          <w:tcPr>
            <w:tcW w:w="613" w:type="pct"/>
          </w:tcPr>
          <w:p w14:paraId="712BC931" w14:textId="77777777" w:rsidR="0016727C" w:rsidRPr="00947FB0" w:rsidRDefault="0016727C" w:rsidP="00FC7AD1">
            <w:pPr>
              <w:spacing w:after="120" w:line="360" w:lineRule="auto"/>
            </w:pPr>
            <w:r>
              <w:t>6.5</w:t>
            </w:r>
          </w:p>
        </w:tc>
        <w:tc>
          <w:tcPr>
            <w:tcW w:w="4387" w:type="pct"/>
          </w:tcPr>
          <w:p w14:paraId="19BFFE49" w14:textId="119DAEFE" w:rsidR="0016727C" w:rsidRPr="00FC7AD1" w:rsidRDefault="0016727C" w:rsidP="00FC7AD1">
            <w:pPr>
              <w:pStyle w:val="CommentText"/>
              <w:spacing w:after="120" w:line="360" w:lineRule="auto"/>
              <w:rPr>
                <w:sz w:val="24"/>
                <w:szCs w:val="24"/>
              </w:rPr>
            </w:pPr>
            <w:r w:rsidRPr="005B43DE">
              <w:rPr>
                <w:sz w:val="24"/>
                <w:szCs w:val="24"/>
              </w:rPr>
              <w:t xml:space="preserve">The author is aware that there </w:t>
            </w:r>
            <w:r>
              <w:rPr>
                <w:sz w:val="24"/>
                <w:szCs w:val="24"/>
              </w:rPr>
              <w:t xml:space="preserve">are now three transfer of care hubs within the system, led by the Integrated Care Board (ICB). </w:t>
            </w:r>
            <w:r w:rsidRPr="005B43DE">
              <w:rPr>
                <w:sz w:val="24"/>
                <w:szCs w:val="24"/>
              </w:rPr>
              <w:t xml:space="preserve">Their role is to support patients on wards who may have complex </w:t>
            </w:r>
            <w:proofErr w:type="gramStart"/>
            <w:r w:rsidRPr="005B43DE">
              <w:rPr>
                <w:sz w:val="24"/>
                <w:szCs w:val="24"/>
              </w:rPr>
              <w:t>medical</w:t>
            </w:r>
            <w:proofErr w:type="gramEnd"/>
            <w:r w:rsidRPr="005B43DE">
              <w:rPr>
                <w:sz w:val="24"/>
                <w:szCs w:val="24"/>
              </w:rPr>
              <w:t xml:space="preserve"> and healthcare needs to allow them to be discharged from hospital with adequate help and support. This may involve working alongside other professional</w:t>
            </w:r>
            <w:r>
              <w:rPr>
                <w:sz w:val="24"/>
                <w:szCs w:val="24"/>
              </w:rPr>
              <w:t>s</w:t>
            </w:r>
            <w:r w:rsidRPr="005B43DE">
              <w:rPr>
                <w:sz w:val="24"/>
                <w:szCs w:val="24"/>
              </w:rPr>
              <w:t xml:space="preserve"> to ensure the patient is discharge to the most appropriate setting for their future care. They are now also able to liaise directly with community and other professional services. </w:t>
            </w:r>
            <w:r>
              <w:rPr>
                <w:sz w:val="24"/>
                <w:szCs w:val="24"/>
              </w:rPr>
              <w:t>Agencies who cared for Mr M22 including the hospital, GP, community services and adult social care all contribute to the transfer of care hubs led by the ICB.</w:t>
            </w:r>
            <w:r w:rsidRPr="005B43DE">
              <w:rPr>
                <w:sz w:val="24"/>
                <w:szCs w:val="24"/>
              </w:rPr>
              <w:t xml:space="preserve">    </w:t>
            </w:r>
          </w:p>
        </w:tc>
      </w:tr>
      <w:tr w:rsidR="0016727C" w14:paraId="7A4CDA29" w14:textId="77777777" w:rsidTr="00425557">
        <w:tc>
          <w:tcPr>
            <w:tcW w:w="613" w:type="pct"/>
          </w:tcPr>
          <w:p w14:paraId="703F2AC7" w14:textId="77777777" w:rsidR="0016727C" w:rsidRDefault="0016727C" w:rsidP="00FC7AD1">
            <w:pPr>
              <w:spacing w:after="120" w:line="360" w:lineRule="auto"/>
            </w:pPr>
            <w:r>
              <w:t>6.6</w:t>
            </w:r>
          </w:p>
        </w:tc>
        <w:tc>
          <w:tcPr>
            <w:tcW w:w="4387" w:type="pct"/>
          </w:tcPr>
          <w:p w14:paraId="6A7A8BAA" w14:textId="694EF2C7" w:rsidR="0016727C" w:rsidRPr="00FC7AD1" w:rsidRDefault="0016727C" w:rsidP="00FC7AD1">
            <w:pPr>
              <w:pStyle w:val="CommentText"/>
              <w:spacing w:after="120" w:line="360" w:lineRule="auto"/>
              <w:rPr>
                <w:sz w:val="24"/>
                <w:szCs w:val="24"/>
              </w:rPr>
            </w:pPr>
            <w:r w:rsidRPr="004B0CDA">
              <w:rPr>
                <w:sz w:val="24"/>
                <w:szCs w:val="24"/>
              </w:rPr>
              <w:t>During the period under review there did not appear to be a cohesive approach to care planning within the community setting. There is no indication with the records reviewed of any one agency taking the lead in terms of co-ordinating the care given to Mr M22. There does not appear to be a clear decision-making pathway or an individual or agency who took a grip of the situation. If there had been it would undoubtedly have been a</w:t>
            </w:r>
            <w:r>
              <w:rPr>
                <w:sz w:val="24"/>
                <w:szCs w:val="24"/>
              </w:rPr>
              <w:t xml:space="preserve"> great</w:t>
            </w:r>
            <w:r w:rsidRPr="004B0CDA">
              <w:rPr>
                <w:sz w:val="24"/>
                <w:szCs w:val="24"/>
              </w:rPr>
              <w:t xml:space="preserve"> assistance to professionals who were trying to co-ordinate the care and support for Mr M22, both within the hospital setting, but more importantly they would have helped to put a plan in place to support Mr M22 when he was discharged home. </w:t>
            </w:r>
          </w:p>
        </w:tc>
      </w:tr>
      <w:tr w:rsidR="0016727C" w14:paraId="65260EA3" w14:textId="77777777" w:rsidTr="00425557">
        <w:tc>
          <w:tcPr>
            <w:tcW w:w="613" w:type="pct"/>
          </w:tcPr>
          <w:p w14:paraId="715A5C30" w14:textId="77777777" w:rsidR="0016727C" w:rsidRDefault="0016727C" w:rsidP="00FC7AD1">
            <w:pPr>
              <w:spacing w:after="120" w:line="360" w:lineRule="auto"/>
            </w:pPr>
            <w:r>
              <w:t>6.7</w:t>
            </w:r>
          </w:p>
        </w:tc>
        <w:tc>
          <w:tcPr>
            <w:tcW w:w="4387" w:type="pct"/>
          </w:tcPr>
          <w:p w14:paraId="4B6E6503" w14:textId="14C4B874" w:rsidR="0016727C" w:rsidRPr="00FC7AD1" w:rsidRDefault="0016727C" w:rsidP="00FC7AD1">
            <w:pPr>
              <w:pStyle w:val="NormalWeb"/>
              <w:spacing w:before="0" w:beforeAutospacing="0" w:after="120" w:afterAutospacing="0" w:line="360" w:lineRule="auto"/>
              <w:rPr>
                <w:rFonts w:asciiTheme="minorHAnsi" w:hAnsiTheme="minorHAnsi" w:cs="Calibri"/>
              </w:rPr>
            </w:pPr>
            <w:r>
              <w:rPr>
                <w:rFonts w:asciiTheme="minorHAnsi" w:hAnsiTheme="minorHAnsi" w:cs="Calibri"/>
              </w:rPr>
              <w:t>Within Community services there is now a w</w:t>
            </w:r>
            <w:r w:rsidRPr="001D0B17">
              <w:rPr>
                <w:rFonts w:asciiTheme="minorHAnsi" w:hAnsiTheme="minorHAnsi" w:cs="Calibri"/>
              </w:rPr>
              <w:t xml:space="preserve">eekly complex case </w:t>
            </w:r>
            <w:r>
              <w:rPr>
                <w:rFonts w:asciiTheme="minorHAnsi" w:hAnsiTheme="minorHAnsi" w:cs="Calibri"/>
              </w:rPr>
              <w:t xml:space="preserve">multi-disciplinary team </w:t>
            </w:r>
            <w:r w:rsidRPr="001D0B17">
              <w:rPr>
                <w:rFonts w:asciiTheme="minorHAnsi" w:hAnsiTheme="minorHAnsi" w:cs="Calibri"/>
              </w:rPr>
              <w:t>discussion</w:t>
            </w:r>
            <w:r>
              <w:rPr>
                <w:rFonts w:asciiTheme="minorHAnsi" w:hAnsiTheme="minorHAnsi" w:cs="Calibri"/>
              </w:rPr>
              <w:t xml:space="preserve">. This provides staff with an opportunity to raise any concerns they may have about a patient they may be treating, particularly if they feel that there is an issue for which they need guidance and support. From here managers can escalate cases to the complex case panel so that </w:t>
            </w:r>
            <w:r>
              <w:rPr>
                <w:rFonts w:asciiTheme="minorHAnsi" w:hAnsiTheme="minorHAnsi" w:cs="Calibri"/>
              </w:rPr>
              <w:lastRenderedPageBreak/>
              <w:t>senior staff from the services involved can assess the risk and devising a plan to progress matters.</w:t>
            </w:r>
          </w:p>
        </w:tc>
      </w:tr>
      <w:tr w:rsidR="0016727C" w14:paraId="485F0900" w14:textId="77777777" w:rsidTr="00425557">
        <w:tc>
          <w:tcPr>
            <w:tcW w:w="613" w:type="pct"/>
          </w:tcPr>
          <w:p w14:paraId="000C684C" w14:textId="77777777" w:rsidR="0016727C" w:rsidRDefault="0016727C" w:rsidP="00FC7AD1">
            <w:pPr>
              <w:spacing w:after="120" w:line="360" w:lineRule="auto"/>
            </w:pPr>
            <w:r>
              <w:lastRenderedPageBreak/>
              <w:t>6.8</w:t>
            </w:r>
          </w:p>
        </w:tc>
        <w:tc>
          <w:tcPr>
            <w:tcW w:w="4387" w:type="pct"/>
          </w:tcPr>
          <w:p w14:paraId="50F0FE77" w14:textId="59E4ECCA" w:rsidR="0016727C" w:rsidRPr="00A7119B" w:rsidRDefault="0016727C" w:rsidP="00FC7AD1">
            <w:pPr>
              <w:spacing w:after="120" w:line="360" w:lineRule="auto"/>
              <w:ind w:left="2"/>
              <w:textAlignment w:val="center"/>
              <w:rPr>
                <w:rFonts w:cs="Arial"/>
              </w:rPr>
            </w:pPr>
            <w:r w:rsidRPr="00144C5A">
              <w:rPr>
                <w:rFonts w:cs="Calibri"/>
              </w:rPr>
              <w:t xml:space="preserve">In addition, </w:t>
            </w:r>
            <w:r>
              <w:rPr>
                <w:rFonts w:cs="Calibri"/>
              </w:rPr>
              <w:t>t</w:t>
            </w:r>
            <w:r w:rsidRPr="00144C5A">
              <w:rPr>
                <w:rFonts w:cs="Arial"/>
              </w:rPr>
              <w:t xml:space="preserve">he Community Nursing Team handover </w:t>
            </w:r>
            <w:r>
              <w:rPr>
                <w:rFonts w:cs="Arial"/>
              </w:rPr>
              <w:t xml:space="preserve">now includes a </w:t>
            </w:r>
            <w:r w:rsidRPr="00144C5A">
              <w:rPr>
                <w:rFonts w:cs="Arial"/>
              </w:rPr>
              <w:t>discussion around any identified concerns for patients. Th</w:t>
            </w:r>
            <w:r>
              <w:rPr>
                <w:rFonts w:cs="Arial"/>
              </w:rPr>
              <w:t>is includes the</w:t>
            </w:r>
            <w:r w:rsidRPr="00144C5A">
              <w:rPr>
                <w:rFonts w:cs="Arial"/>
              </w:rPr>
              <w:t xml:space="preserve"> reporting of any escalating health or safeguarding concerns to other professionals</w:t>
            </w:r>
            <w:r>
              <w:rPr>
                <w:rFonts w:cs="Arial"/>
              </w:rPr>
              <w:t>, whereby they are</w:t>
            </w:r>
            <w:r w:rsidRPr="00144C5A">
              <w:rPr>
                <w:rFonts w:cs="Arial"/>
              </w:rPr>
              <w:t xml:space="preserve"> agreed and actioned with an identified practitioner being allocated. </w:t>
            </w:r>
            <w:r>
              <w:rPr>
                <w:rFonts w:cs="Arial"/>
              </w:rPr>
              <w:t>This is then recorded within</w:t>
            </w:r>
            <w:r w:rsidRPr="00144C5A">
              <w:rPr>
                <w:rFonts w:cs="Arial"/>
              </w:rPr>
              <w:t xml:space="preserve"> the patient’s clinical record</w:t>
            </w:r>
            <w:r>
              <w:rPr>
                <w:rFonts w:cs="Arial"/>
              </w:rPr>
              <w:t>.</w:t>
            </w:r>
          </w:p>
        </w:tc>
      </w:tr>
      <w:tr w:rsidR="0016727C" w14:paraId="28D4740D" w14:textId="77777777" w:rsidTr="00425557">
        <w:tc>
          <w:tcPr>
            <w:tcW w:w="613" w:type="pct"/>
          </w:tcPr>
          <w:p w14:paraId="00E922D0" w14:textId="77777777" w:rsidR="0016727C" w:rsidRDefault="0016727C" w:rsidP="00FC7AD1">
            <w:pPr>
              <w:spacing w:after="120" w:line="360" w:lineRule="auto"/>
            </w:pPr>
            <w:r>
              <w:t>6.9</w:t>
            </w:r>
          </w:p>
        </w:tc>
        <w:tc>
          <w:tcPr>
            <w:tcW w:w="4387" w:type="pct"/>
          </w:tcPr>
          <w:p w14:paraId="329F6AE4" w14:textId="3E5CF97E" w:rsidR="0016727C" w:rsidRPr="00FC7AD1" w:rsidRDefault="0016727C" w:rsidP="00FC7AD1">
            <w:pPr>
              <w:spacing w:after="120" w:line="360" w:lineRule="auto"/>
            </w:pPr>
            <w:r w:rsidRPr="00985D84">
              <w:t xml:space="preserve">There were </w:t>
            </w:r>
            <w:proofErr w:type="gramStart"/>
            <w:r w:rsidRPr="00985D84">
              <w:t>a number of</w:t>
            </w:r>
            <w:proofErr w:type="gramEnd"/>
            <w:r w:rsidRPr="00985D84">
              <w:t xml:space="preserve"> good learning points highlighted within the chronologies. These included attempts by physiotherapy and </w:t>
            </w:r>
            <w:r>
              <w:t>o</w:t>
            </w:r>
            <w:r w:rsidRPr="00985D84">
              <w:t>ccupational therapy teams to engage with Mr M22 to help him mobilise</w:t>
            </w:r>
            <w:r>
              <w:t>,</w:t>
            </w:r>
            <w:r w:rsidRPr="00985D84">
              <w:t xml:space="preserve"> as well as the district nursing team who provided good care and support to Mr M22. </w:t>
            </w:r>
          </w:p>
        </w:tc>
      </w:tr>
      <w:tr w:rsidR="0016727C" w14:paraId="0E61E1E7" w14:textId="77777777" w:rsidTr="00425557">
        <w:tc>
          <w:tcPr>
            <w:tcW w:w="613" w:type="pct"/>
          </w:tcPr>
          <w:p w14:paraId="7974CFED" w14:textId="77777777" w:rsidR="0016727C" w:rsidRDefault="0016727C" w:rsidP="00FC7AD1">
            <w:pPr>
              <w:spacing w:after="120" w:line="360" w:lineRule="auto"/>
            </w:pPr>
            <w:r>
              <w:t>6.10</w:t>
            </w:r>
          </w:p>
        </w:tc>
        <w:tc>
          <w:tcPr>
            <w:tcW w:w="4387" w:type="pct"/>
          </w:tcPr>
          <w:p w14:paraId="1159BE4F" w14:textId="77777777" w:rsidR="0016727C" w:rsidRDefault="0016727C" w:rsidP="00FC7AD1">
            <w:pPr>
              <w:spacing w:after="120" w:line="360" w:lineRule="auto"/>
            </w:pPr>
            <w:r>
              <w:t xml:space="preserve">The Tenancy Sustainment Officers spend a great deal of their time visiting people in their homes dealing with issues around housing. </w:t>
            </w:r>
          </w:p>
          <w:p w14:paraId="21A835B3" w14:textId="77777777" w:rsidR="0016727C" w:rsidRDefault="0016727C" w:rsidP="00FC7AD1">
            <w:pPr>
              <w:spacing w:after="120" w:line="360" w:lineRule="auto"/>
            </w:pPr>
            <w:r>
              <w:t xml:space="preserve">It was noteworthy within the Practitioner Learning Event that they expressed the view that they had a positive relationship with Mr </w:t>
            </w:r>
            <w:proofErr w:type="gramStart"/>
            <w:r>
              <w:t>M22, but</w:t>
            </w:r>
            <w:proofErr w:type="gramEnd"/>
            <w:r>
              <w:t xml:space="preserve"> stated that when they raised concerns about Mr M22’s deteriorating health they felt that they are not listened too. This would appear to be an ongoing concern on their part. </w:t>
            </w:r>
          </w:p>
          <w:p w14:paraId="02387C00" w14:textId="77777777" w:rsidR="00425557" w:rsidRDefault="00425557" w:rsidP="00FC7AD1">
            <w:pPr>
              <w:spacing w:after="120" w:line="360" w:lineRule="auto"/>
            </w:pPr>
          </w:p>
          <w:p w14:paraId="3BC84DEA" w14:textId="0FDC3722" w:rsidR="00425557" w:rsidRPr="00985D84" w:rsidRDefault="00425557" w:rsidP="00FC7AD1">
            <w:pPr>
              <w:spacing w:after="120" w:line="360" w:lineRule="auto"/>
            </w:pPr>
          </w:p>
        </w:tc>
      </w:tr>
      <w:tr w:rsidR="0016727C" w14:paraId="5435C26A" w14:textId="77777777" w:rsidTr="00425557">
        <w:tc>
          <w:tcPr>
            <w:tcW w:w="613" w:type="pct"/>
          </w:tcPr>
          <w:p w14:paraId="5C2410DD" w14:textId="77777777" w:rsidR="0016727C" w:rsidRPr="00C35965" w:rsidRDefault="0016727C" w:rsidP="00FC7AD1">
            <w:pPr>
              <w:spacing w:after="120" w:line="360" w:lineRule="auto"/>
              <w:rPr>
                <w:sz w:val="36"/>
                <w:szCs w:val="36"/>
              </w:rPr>
            </w:pPr>
            <w:r>
              <w:rPr>
                <w:sz w:val="36"/>
                <w:szCs w:val="36"/>
              </w:rPr>
              <w:t>7</w:t>
            </w:r>
          </w:p>
        </w:tc>
        <w:tc>
          <w:tcPr>
            <w:tcW w:w="4387" w:type="pct"/>
          </w:tcPr>
          <w:p w14:paraId="3A331191" w14:textId="0E3BDD76" w:rsidR="0016727C" w:rsidRPr="00B63377" w:rsidRDefault="0016727C" w:rsidP="00FC7AD1">
            <w:pPr>
              <w:pStyle w:val="NormalWeb"/>
              <w:spacing w:before="0" w:beforeAutospacing="0" w:after="120" w:afterAutospacing="0" w:line="360" w:lineRule="auto"/>
              <w:rPr>
                <w:rFonts w:asciiTheme="minorHAnsi" w:hAnsiTheme="minorHAnsi" w:cs="Calibri"/>
                <w:b/>
                <w:bCs/>
                <w:sz w:val="36"/>
                <w:szCs w:val="36"/>
              </w:rPr>
            </w:pPr>
            <w:r w:rsidRPr="00B63377">
              <w:rPr>
                <w:rFonts w:asciiTheme="minorHAnsi" w:hAnsiTheme="minorHAnsi" w:cs="Calibri"/>
                <w:b/>
                <w:bCs/>
                <w:sz w:val="36"/>
                <w:szCs w:val="36"/>
              </w:rPr>
              <w:t xml:space="preserve">Recommendations </w:t>
            </w:r>
          </w:p>
        </w:tc>
      </w:tr>
      <w:tr w:rsidR="0016727C" w14:paraId="231D7FE5" w14:textId="77777777" w:rsidTr="00425557">
        <w:tc>
          <w:tcPr>
            <w:tcW w:w="613" w:type="pct"/>
          </w:tcPr>
          <w:p w14:paraId="2D703513" w14:textId="77777777" w:rsidR="0016727C" w:rsidRDefault="0016727C" w:rsidP="00FC7AD1">
            <w:pPr>
              <w:spacing w:after="120" w:line="360" w:lineRule="auto"/>
            </w:pPr>
            <w:r>
              <w:t>7.1</w:t>
            </w:r>
          </w:p>
        </w:tc>
        <w:tc>
          <w:tcPr>
            <w:tcW w:w="4387" w:type="pct"/>
          </w:tcPr>
          <w:p w14:paraId="51C8E59C" w14:textId="29AB9DA2" w:rsidR="0016727C" w:rsidRPr="00FC7AD1" w:rsidRDefault="0016727C" w:rsidP="00FC7AD1">
            <w:pPr>
              <w:pStyle w:val="CommentText"/>
              <w:spacing w:after="120" w:line="360" w:lineRule="auto"/>
              <w:rPr>
                <w:b/>
                <w:bCs/>
                <w:sz w:val="24"/>
                <w:szCs w:val="24"/>
              </w:rPr>
            </w:pPr>
            <w:r>
              <w:rPr>
                <w:b/>
                <w:bCs/>
                <w:sz w:val="24"/>
                <w:szCs w:val="24"/>
              </w:rPr>
              <w:t>Nottinghamshire Healthcare Trust should review the current structure of the community teams to establish if they are correctly resourced to meet the growing demands placed upon the service</w:t>
            </w:r>
            <w:r w:rsidRPr="00173E5C">
              <w:rPr>
                <w:b/>
                <w:bCs/>
                <w:sz w:val="24"/>
                <w:szCs w:val="24"/>
              </w:rPr>
              <w:t xml:space="preserve">. </w:t>
            </w:r>
            <w:r w:rsidRPr="00173E5C">
              <w:rPr>
                <w:sz w:val="24"/>
                <w:szCs w:val="24"/>
              </w:rPr>
              <w:t xml:space="preserve">On numerous occasions during the Practitioner Learning </w:t>
            </w:r>
            <w:proofErr w:type="gramStart"/>
            <w:r w:rsidRPr="00173E5C">
              <w:rPr>
                <w:sz w:val="24"/>
                <w:szCs w:val="24"/>
              </w:rPr>
              <w:t>Event</w:t>
            </w:r>
            <w:proofErr w:type="gramEnd"/>
            <w:r w:rsidRPr="00173E5C">
              <w:rPr>
                <w:sz w:val="24"/>
                <w:szCs w:val="24"/>
              </w:rPr>
              <w:t xml:space="preserve"> it was stated that the community services were </w:t>
            </w:r>
            <w:r>
              <w:rPr>
                <w:sz w:val="24"/>
                <w:szCs w:val="24"/>
              </w:rPr>
              <w:t>‘</w:t>
            </w:r>
            <w:r w:rsidRPr="0035215A">
              <w:rPr>
                <w:i/>
                <w:iCs/>
                <w:sz w:val="24"/>
                <w:szCs w:val="24"/>
              </w:rPr>
              <w:t>under staffed’</w:t>
            </w:r>
            <w:r w:rsidRPr="00173E5C">
              <w:rPr>
                <w:sz w:val="24"/>
                <w:szCs w:val="24"/>
              </w:rPr>
              <w:t xml:space="preserve"> during the period review</w:t>
            </w:r>
            <w:r>
              <w:rPr>
                <w:sz w:val="24"/>
                <w:szCs w:val="24"/>
              </w:rPr>
              <w:t>ed</w:t>
            </w:r>
            <w:r w:rsidRPr="00173E5C">
              <w:rPr>
                <w:sz w:val="24"/>
                <w:szCs w:val="24"/>
              </w:rPr>
              <w:t xml:space="preserve"> and that this situation still continues today. Staffing levels were noted as continuing to be the subject of an entry on the </w:t>
            </w:r>
            <w:r>
              <w:rPr>
                <w:sz w:val="24"/>
                <w:szCs w:val="24"/>
              </w:rPr>
              <w:t>T</w:t>
            </w:r>
            <w:r w:rsidRPr="00173E5C">
              <w:rPr>
                <w:sz w:val="24"/>
                <w:szCs w:val="24"/>
              </w:rPr>
              <w:t xml:space="preserve">rust ‘risk register’ and one of the conclusions of this review is that poor staffing levels may have contributed to </w:t>
            </w:r>
            <w:r>
              <w:rPr>
                <w:sz w:val="24"/>
                <w:szCs w:val="24"/>
              </w:rPr>
              <w:t xml:space="preserve">staff who cared for Mr M22 </w:t>
            </w:r>
            <w:r>
              <w:rPr>
                <w:sz w:val="24"/>
                <w:szCs w:val="24"/>
              </w:rPr>
              <w:lastRenderedPageBreak/>
              <w:t xml:space="preserve">taking a task orientated approach to his care and failed to recognise the wider context of self-neglect and therefore contributed to </w:t>
            </w:r>
            <w:r w:rsidRPr="00173E5C">
              <w:rPr>
                <w:sz w:val="24"/>
                <w:szCs w:val="24"/>
              </w:rPr>
              <w:t>Mr M22</w:t>
            </w:r>
            <w:r>
              <w:rPr>
                <w:sz w:val="24"/>
                <w:szCs w:val="24"/>
              </w:rPr>
              <w:t>’s</w:t>
            </w:r>
            <w:r w:rsidRPr="00173E5C">
              <w:rPr>
                <w:sz w:val="24"/>
                <w:szCs w:val="24"/>
              </w:rPr>
              <w:t xml:space="preserve"> </w:t>
            </w:r>
            <w:r>
              <w:rPr>
                <w:sz w:val="24"/>
                <w:szCs w:val="24"/>
              </w:rPr>
              <w:t xml:space="preserve">son view of Mr M22  </w:t>
            </w:r>
            <w:r w:rsidRPr="00173E5C">
              <w:rPr>
                <w:i/>
                <w:iCs/>
                <w:sz w:val="24"/>
                <w:szCs w:val="24"/>
              </w:rPr>
              <w:t>‘falling through the cracks’</w:t>
            </w:r>
            <w:r w:rsidRPr="00173E5C">
              <w:rPr>
                <w:sz w:val="24"/>
                <w:szCs w:val="24"/>
              </w:rPr>
              <w:t xml:space="preserve">. </w:t>
            </w:r>
            <w:r>
              <w:rPr>
                <w:sz w:val="24"/>
                <w:szCs w:val="24"/>
              </w:rPr>
              <w:t xml:space="preserve">It is recognised that recruitment and retention of nursing staff is a national </w:t>
            </w:r>
            <w:proofErr w:type="gramStart"/>
            <w:r>
              <w:rPr>
                <w:sz w:val="24"/>
                <w:szCs w:val="24"/>
              </w:rPr>
              <w:t>issue</w:t>
            </w:r>
            <w:proofErr w:type="gramEnd"/>
            <w:r>
              <w:rPr>
                <w:sz w:val="24"/>
                <w:szCs w:val="24"/>
              </w:rPr>
              <w:t xml:space="preserve"> and that Nottinghamshire Healthcare trust is working to establish integrated community teams, which are aimed to</w:t>
            </w:r>
            <w:r w:rsidRPr="00173E5C">
              <w:rPr>
                <w:sz w:val="24"/>
                <w:szCs w:val="24"/>
              </w:rPr>
              <w:t xml:space="preserve"> improve staff and service resilience</w:t>
            </w:r>
            <w:r>
              <w:rPr>
                <w:sz w:val="24"/>
                <w:szCs w:val="24"/>
              </w:rPr>
              <w:t xml:space="preserve"> and </w:t>
            </w:r>
            <w:r w:rsidRPr="00173E5C">
              <w:rPr>
                <w:sz w:val="24"/>
                <w:szCs w:val="24"/>
              </w:rPr>
              <w:t>help raise the quality of service.</w:t>
            </w:r>
          </w:p>
        </w:tc>
      </w:tr>
      <w:tr w:rsidR="0016727C" w14:paraId="265F9E04" w14:textId="77777777" w:rsidTr="00425557">
        <w:tc>
          <w:tcPr>
            <w:tcW w:w="613" w:type="pct"/>
          </w:tcPr>
          <w:p w14:paraId="3DC02F16" w14:textId="77777777" w:rsidR="0016727C" w:rsidRDefault="0016727C" w:rsidP="00FC7AD1">
            <w:pPr>
              <w:spacing w:after="120" w:line="360" w:lineRule="auto"/>
            </w:pPr>
            <w:r>
              <w:lastRenderedPageBreak/>
              <w:t>7.2</w:t>
            </w:r>
          </w:p>
        </w:tc>
        <w:tc>
          <w:tcPr>
            <w:tcW w:w="4387" w:type="pct"/>
          </w:tcPr>
          <w:p w14:paraId="43CCE450" w14:textId="37CB184F" w:rsidR="0016727C" w:rsidRPr="00FC7AD1" w:rsidRDefault="0016727C" w:rsidP="00FC7AD1">
            <w:pPr>
              <w:spacing w:after="120" w:line="360" w:lineRule="auto"/>
              <w:rPr>
                <w:b/>
              </w:rPr>
            </w:pPr>
            <w:r w:rsidRPr="00A20EFA">
              <w:rPr>
                <w:b/>
                <w:bCs/>
              </w:rPr>
              <w:t xml:space="preserve">The importance of </w:t>
            </w:r>
            <w:r>
              <w:rPr>
                <w:b/>
                <w:bCs/>
              </w:rPr>
              <w:t>Mental Capacity Act (MCA) assessments when dealing with vulnerable patients should be emphasised to staff as a priority. The escalation policies and the availability of online toolkits (self-neglect, non-engagement) and other resources to</w:t>
            </w:r>
            <w:r w:rsidRPr="00BF6239">
              <w:rPr>
                <w:b/>
              </w:rPr>
              <w:t xml:space="preserve"> assist t</w:t>
            </w:r>
            <w:r>
              <w:rPr>
                <w:b/>
              </w:rPr>
              <w:t xml:space="preserve">he risk management process should also be highlighted. </w:t>
            </w:r>
            <w:r w:rsidRPr="00C91C5F">
              <w:rPr>
                <w:bCs/>
              </w:rPr>
              <w:t>This will help inform staff and assist them when completing their risk assessments regarding this type of behaviour.</w:t>
            </w:r>
            <w:r>
              <w:rPr>
                <w:b/>
              </w:rPr>
              <w:t xml:space="preserve"> </w:t>
            </w:r>
            <w:r>
              <w:t xml:space="preserve">This should also highlight the need for ongoing MCA assessment of patients, particularly in relation to decisions that will be time and decision specific, if it is suspected that there may be some form of impairment. The Trust should ensure that all toolkits are easily accessible, </w:t>
            </w:r>
            <w:proofErr w:type="gramStart"/>
            <w:r>
              <w:t>relevant</w:t>
            </w:r>
            <w:proofErr w:type="gramEnd"/>
            <w:r>
              <w:t xml:space="preserve"> and kept up to date. </w:t>
            </w:r>
          </w:p>
        </w:tc>
      </w:tr>
      <w:tr w:rsidR="0016727C" w14:paraId="768112D1" w14:textId="77777777" w:rsidTr="00425557">
        <w:tc>
          <w:tcPr>
            <w:tcW w:w="613" w:type="pct"/>
          </w:tcPr>
          <w:p w14:paraId="3D3DC7D6" w14:textId="77777777" w:rsidR="0016727C" w:rsidRDefault="0016727C" w:rsidP="00FC7AD1">
            <w:pPr>
              <w:spacing w:after="120" w:line="360" w:lineRule="auto"/>
            </w:pPr>
            <w:r>
              <w:t>7.3</w:t>
            </w:r>
          </w:p>
        </w:tc>
        <w:tc>
          <w:tcPr>
            <w:tcW w:w="4387" w:type="pct"/>
          </w:tcPr>
          <w:p w14:paraId="4CAF273C" w14:textId="05705AFB" w:rsidR="0016727C" w:rsidRDefault="0016727C" w:rsidP="00FC7AD1">
            <w:pPr>
              <w:spacing w:after="120" w:line="360" w:lineRule="auto"/>
            </w:pPr>
            <w:r w:rsidRPr="00A9462C">
              <w:rPr>
                <w:rFonts w:cstheme="minorHAnsi"/>
                <w:b/>
                <w:bCs/>
                <w:color w:val="000000" w:themeColor="text1"/>
              </w:rPr>
              <w:t>Nottinghamshire Safeguarding Adults Board</w:t>
            </w:r>
            <w:r>
              <w:rPr>
                <w:rFonts w:cstheme="minorHAnsi"/>
                <w:b/>
                <w:bCs/>
                <w:color w:val="000000" w:themeColor="text1"/>
              </w:rPr>
              <w:t>,</w:t>
            </w:r>
            <w:r w:rsidRPr="00A9462C">
              <w:rPr>
                <w:rFonts w:cstheme="minorHAnsi"/>
                <w:b/>
                <w:bCs/>
                <w:color w:val="000000" w:themeColor="text1"/>
              </w:rPr>
              <w:t xml:space="preserve"> through the development of their prevention strategy</w:t>
            </w:r>
            <w:r>
              <w:rPr>
                <w:rFonts w:cstheme="minorHAnsi"/>
                <w:b/>
                <w:bCs/>
                <w:color w:val="000000" w:themeColor="text1"/>
              </w:rPr>
              <w:t>,</w:t>
            </w:r>
            <w:r w:rsidRPr="00A9462C">
              <w:rPr>
                <w:rFonts w:cstheme="minorHAnsi"/>
                <w:b/>
                <w:bCs/>
                <w:color w:val="000000" w:themeColor="text1"/>
              </w:rPr>
              <w:t xml:space="preserve"> should promote the </w:t>
            </w:r>
            <w:r>
              <w:rPr>
                <w:rFonts w:cstheme="minorHAnsi"/>
                <w:b/>
                <w:bCs/>
                <w:color w:val="000000" w:themeColor="text1"/>
              </w:rPr>
              <w:t>importance</w:t>
            </w:r>
            <w:r w:rsidRPr="00A9462C">
              <w:rPr>
                <w:rFonts w:cstheme="minorHAnsi"/>
                <w:b/>
                <w:bCs/>
                <w:color w:val="000000" w:themeColor="text1"/>
              </w:rPr>
              <w:t xml:space="preserve"> of holding multi-agency meetings to share information and develop multi-agency risk management plans to manage or mitigate the risks posed to </w:t>
            </w:r>
            <w:r>
              <w:rPr>
                <w:rFonts w:cstheme="minorHAnsi"/>
                <w:b/>
                <w:bCs/>
                <w:color w:val="000000" w:themeColor="text1"/>
              </w:rPr>
              <w:t>vulnerable a</w:t>
            </w:r>
            <w:r w:rsidRPr="00A9462C">
              <w:rPr>
                <w:rFonts w:cstheme="minorHAnsi"/>
                <w:b/>
                <w:bCs/>
                <w:color w:val="000000" w:themeColor="text1"/>
              </w:rPr>
              <w:t>dults</w:t>
            </w:r>
            <w:r>
              <w:rPr>
                <w:rFonts w:cstheme="minorHAnsi"/>
                <w:b/>
                <w:bCs/>
                <w:color w:val="000000" w:themeColor="text1"/>
              </w:rPr>
              <w:t xml:space="preserve">. </w:t>
            </w:r>
            <w:r w:rsidRPr="00AF7A68">
              <w:t>Referral pathways to High-Risk panels should be shared with all the agencies involved and should include all contact details to use when raising a safeguarding alert.</w:t>
            </w:r>
            <w:r>
              <w:t xml:space="preserve"> </w:t>
            </w:r>
            <w:r w:rsidRPr="00A9462C">
              <w:rPr>
                <w:rFonts w:cstheme="minorHAnsi"/>
                <w:b/>
                <w:bCs/>
                <w:color w:val="000000" w:themeColor="text1"/>
              </w:rPr>
              <w:t xml:space="preserve"> </w:t>
            </w:r>
            <w:r>
              <w:t xml:space="preserve">Where risk </w:t>
            </w:r>
            <w:proofErr w:type="gramStart"/>
            <w:r>
              <w:t>is considered to be</w:t>
            </w:r>
            <w:proofErr w:type="gramEnd"/>
            <w:r>
              <w:t xml:space="preserve"> unmanageable, agencies should consider escalation options with Safeguarding leads. Measures should be put in place to ensure that cases where self-neglect is suspected are referred to social care prior to the discharge of a person from hospital. </w:t>
            </w:r>
          </w:p>
        </w:tc>
      </w:tr>
      <w:tr w:rsidR="0016727C" w14:paraId="29D99642" w14:textId="77777777" w:rsidTr="00425557">
        <w:tc>
          <w:tcPr>
            <w:tcW w:w="613" w:type="pct"/>
          </w:tcPr>
          <w:p w14:paraId="50BBDCF4" w14:textId="77777777" w:rsidR="0016727C" w:rsidRDefault="0016727C" w:rsidP="00FC7AD1">
            <w:pPr>
              <w:spacing w:after="120" w:line="360" w:lineRule="auto"/>
            </w:pPr>
            <w:r>
              <w:t>7.4</w:t>
            </w:r>
          </w:p>
        </w:tc>
        <w:tc>
          <w:tcPr>
            <w:tcW w:w="4387" w:type="pct"/>
          </w:tcPr>
          <w:p w14:paraId="09840C54" w14:textId="425EFF36" w:rsidR="0016727C" w:rsidRPr="00FC7AD1" w:rsidRDefault="0016727C" w:rsidP="00FC7AD1">
            <w:pPr>
              <w:spacing w:after="120" w:line="360" w:lineRule="auto"/>
            </w:pPr>
            <w:r w:rsidRPr="00B75F40">
              <w:rPr>
                <w:b/>
                <w:bCs/>
              </w:rPr>
              <w:t xml:space="preserve">The </w:t>
            </w:r>
            <w:r>
              <w:rPr>
                <w:b/>
                <w:bCs/>
              </w:rPr>
              <w:t xml:space="preserve">transfer of care hubs should link in with other agencies where appropriate to ensure that people are properly supported when discharged from the acute setting. </w:t>
            </w:r>
            <w:r w:rsidRPr="00A71FA6">
              <w:t>The</w:t>
            </w:r>
            <w:r>
              <w:t xml:space="preserve"> transfer of care hubs</w:t>
            </w:r>
            <w:r w:rsidRPr="00A71FA6">
              <w:t xml:space="preserve"> should ensure that all </w:t>
            </w:r>
            <w:r w:rsidRPr="00A71FA6">
              <w:lastRenderedPageBreak/>
              <w:t xml:space="preserve">discharge planning is in accordance with national guidelines and that community support services are notified in a timely manner prior to patients being discharges.  </w:t>
            </w:r>
            <w:r>
              <w:t>C</w:t>
            </w:r>
            <w:r w:rsidRPr="00A71FA6">
              <w:t xml:space="preserve">lear information </w:t>
            </w:r>
            <w:r>
              <w:t>should be</w:t>
            </w:r>
            <w:r w:rsidRPr="00A71FA6">
              <w:t xml:space="preserve"> given to p</w:t>
            </w:r>
            <w:r>
              <w:t>atients</w:t>
            </w:r>
            <w:r w:rsidRPr="00A71FA6">
              <w:t xml:space="preserve"> about support options available to them, associated costs and whether these can be reimbursed.</w:t>
            </w:r>
          </w:p>
        </w:tc>
      </w:tr>
      <w:tr w:rsidR="0016727C" w14:paraId="7B9D5993" w14:textId="77777777" w:rsidTr="00425557">
        <w:tc>
          <w:tcPr>
            <w:tcW w:w="613" w:type="pct"/>
          </w:tcPr>
          <w:p w14:paraId="1B662E1B" w14:textId="77777777" w:rsidR="0016727C" w:rsidRDefault="0016727C" w:rsidP="00FC7AD1">
            <w:pPr>
              <w:spacing w:after="120" w:line="360" w:lineRule="auto"/>
            </w:pPr>
            <w:r>
              <w:lastRenderedPageBreak/>
              <w:t>7.5</w:t>
            </w:r>
          </w:p>
        </w:tc>
        <w:tc>
          <w:tcPr>
            <w:tcW w:w="4387" w:type="pct"/>
          </w:tcPr>
          <w:p w14:paraId="34DC1EFB" w14:textId="5171A504" w:rsidR="0016727C" w:rsidRPr="00FC7AD1" w:rsidRDefault="0016727C" w:rsidP="00FC7AD1">
            <w:pPr>
              <w:pStyle w:val="CommentText"/>
              <w:spacing w:after="120" w:line="360" w:lineRule="auto"/>
              <w:rPr>
                <w:b/>
                <w:bCs/>
              </w:rPr>
            </w:pPr>
            <w:r w:rsidRPr="00785B62">
              <w:rPr>
                <w:b/>
                <w:bCs/>
                <w:sz w:val="24"/>
                <w:szCs w:val="24"/>
                <w:lang w:val="en-US"/>
              </w:rPr>
              <w:t>Nottingham &amp; Nottinghamshire ICB to progress work on the Eco system plan to evaluate interoperability and information exchange between the Health &amp; Social Care Sector.</w:t>
            </w:r>
            <w:r w:rsidRPr="00785B62">
              <w:rPr>
                <w:b/>
                <w:bCs/>
                <w:lang w:val="en-US"/>
              </w:rPr>
              <w:t xml:space="preserve"> </w:t>
            </w:r>
            <w:r>
              <w:rPr>
                <w:sz w:val="24"/>
                <w:szCs w:val="24"/>
              </w:rPr>
              <w:t xml:space="preserve">This would allow staff to be able to access patient records from other departments so that they have a better idea of what treatment a patient has received, from which department they received that treatment, their current </w:t>
            </w:r>
            <w:proofErr w:type="gramStart"/>
            <w:r>
              <w:rPr>
                <w:sz w:val="24"/>
                <w:szCs w:val="24"/>
              </w:rPr>
              <w:t>location</w:t>
            </w:r>
            <w:proofErr w:type="gramEnd"/>
            <w:r>
              <w:rPr>
                <w:sz w:val="24"/>
                <w:szCs w:val="24"/>
              </w:rPr>
              <w:t xml:space="preserve"> and details of any discharge plan. This would greatly improve information sharing between the different departments. </w:t>
            </w:r>
          </w:p>
        </w:tc>
      </w:tr>
      <w:tr w:rsidR="0016727C" w14:paraId="1C0F75DE" w14:textId="77777777" w:rsidTr="00425557">
        <w:tc>
          <w:tcPr>
            <w:tcW w:w="613" w:type="pct"/>
          </w:tcPr>
          <w:p w14:paraId="5E8246CD" w14:textId="77777777" w:rsidR="0016727C" w:rsidRDefault="0016727C" w:rsidP="00FC7AD1">
            <w:pPr>
              <w:spacing w:after="120" w:line="360" w:lineRule="auto"/>
            </w:pPr>
            <w:r>
              <w:t>7.6</w:t>
            </w:r>
          </w:p>
        </w:tc>
        <w:tc>
          <w:tcPr>
            <w:tcW w:w="4387" w:type="pct"/>
          </w:tcPr>
          <w:p w14:paraId="46E2FD9D" w14:textId="77777777" w:rsidR="0016727C" w:rsidRPr="00973B46" w:rsidRDefault="0016727C" w:rsidP="00FC7AD1">
            <w:pPr>
              <w:pStyle w:val="CommentText"/>
              <w:spacing w:after="120" w:line="360" w:lineRule="auto"/>
              <w:rPr>
                <w:b/>
                <w:bCs/>
                <w:sz w:val="24"/>
                <w:szCs w:val="24"/>
              </w:rPr>
            </w:pPr>
            <w:r w:rsidRPr="00973B46">
              <w:rPr>
                <w:b/>
                <w:bCs/>
                <w:sz w:val="24"/>
                <w:szCs w:val="24"/>
                <w:lang w:val="en-US"/>
              </w:rPr>
              <w:t xml:space="preserve">Ensure that carers </w:t>
            </w:r>
            <w:proofErr w:type="gramStart"/>
            <w:r w:rsidRPr="00973B46">
              <w:rPr>
                <w:b/>
                <w:bCs/>
                <w:sz w:val="24"/>
                <w:szCs w:val="24"/>
                <w:lang w:val="en-US"/>
              </w:rPr>
              <w:t>needs</w:t>
            </w:r>
            <w:proofErr w:type="gramEnd"/>
            <w:r w:rsidRPr="00973B46">
              <w:rPr>
                <w:b/>
                <w:bCs/>
                <w:sz w:val="24"/>
                <w:szCs w:val="24"/>
                <w:lang w:val="en-US"/>
              </w:rPr>
              <w:t xml:space="preserve"> in relation to Severe Multiple Disadvantage are </w:t>
            </w:r>
            <w:proofErr w:type="spellStart"/>
            <w:r w:rsidRPr="00973B46">
              <w:rPr>
                <w:b/>
                <w:bCs/>
                <w:sz w:val="24"/>
                <w:szCs w:val="24"/>
                <w:lang w:val="en-US"/>
              </w:rPr>
              <w:t>recognised</w:t>
            </w:r>
            <w:proofErr w:type="spellEnd"/>
            <w:r w:rsidRPr="00973B46">
              <w:rPr>
                <w:b/>
                <w:bCs/>
                <w:sz w:val="24"/>
                <w:szCs w:val="24"/>
                <w:lang w:val="en-US"/>
              </w:rPr>
              <w:t xml:space="preserve"> as part of the assessment and whole family process </w:t>
            </w:r>
            <w:proofErr w:type="spellStart"/>
            <w:r w:rsidRPr="00973B46">
              <w:rPr>
                <w:b/>
                <w:bCs/>
                <w:sz w:val="24"/>
                <w:szCs w:val="24"/>
                <w:lang w:val="en-US"/>
              </w:rPr>
              <w:t>utilising</w:t>
            </w:r>
            <w:proofErr w:type="spellEnd"/>
            <w:r w:rsidRPr="00973B46">
              <w:rPr>
                <w:b/>
                <w:bCs/>
                <w:sz w:val="24"/>
                <w:szCs w:val="24"/>
                <w:lang w:val="en-US"/>
              </w:rPr>
              <w:t xml:space="preserve"> a multidisciplinary approach to support people within this group and prevent self</w:t>
            </w:r>
            <w:r>
              <w:rPr>
                <w:b/>
                <w:bCs/>
                <w:sz w:val="24"/>
                <w:szCs w:val="24"/>
                <w:lang w:val="en-US"/>
              </w:rPr>
              <w:t>-</w:t>
            </w:r>
            <w:r w:rsidRPr="00973B46">
              <w:rPr>
                <w:b/>
                <w:bCs/>
                <w:sz w:val="24"/>
                <w:szCs w:val="24"/>
                <w:lang w:val="en-US"/>
              </w:rPr>
              <w:t xml:space="preserve">neglect.  Improve data recording to determine </w:t>
            </w:r>
            <w:r>
              <w:rPr>
                <w:b/>
                <w:bCs/>
                <w:sz w:val="24"/>
                <w:szCs w:val="24"/>
                <w:lang w:val="en-US"/>
              </w:rPr>
              <w:t xml:space="preserve">the </w:t>
            </w:r>
            <w:r w:rsidRPr="00973B46">
              <w:rPr>
                <w:b/>
                <w:bCs/>
                <w:sz w:val="24"/>
                <w:szCs w:val="24"/>
                <w:lang w:val="en-US"/>
              </w:rPr>
              <w:t xml:space="preserve">impact of this area on carers and inform future service and support planning. </w:t>
            </w:r>
          </w:p>
          <w:p w14:paraId="5F13F79F" w14:textId="0FD46199" w:rsidR="0016727C" w:rsidRPr="00FC7AD1" w:rsidRDefault="0016727C" w:rsidP="00FC7AD1">
            <w:pPr>
              <w:pStyle w:val="CommentText"/>
              <w:spacing w:after="120" w:line="360" w:lineRule="auto"/>
              <w:rPr>
                <w:b/>
                <w:bCs/>
                <w:sz w:val="24"/>
                <w:szCs w:val="24"/>
              </w:rPr>
            </w:pPr>
            <w:r w:rsidRPr="004314C6">
              <w:rPr>
                <w:sz w:val="24"/>
                <w:szCs w:val="24"/>
              </w:rPr>
              <w:t xml:space="preserve">If risk factors are shown as being elevated in any of the sections </w:t>
            </w:r>
            <w:r>
              <w:rPr>
                <w:sz w:val="24"/>
                <w:szCs w:val="24"/>
              </w:rPr>
              <w:t xml:space="preserve">of the carers assessment, </w:t>
            </w:r>
            <w:r w:rsidRPr="004314C6">
              <w:rPr>
                <w:sz w:val="24"/>
                <w:szCs w:val="24"/>
              </w:rPr>
              <w:t xml:space="preserve">then the form should be </w:t>
            </w:r>
            <w:r>
              <w:rPr>
                <w:sz w:val="24"/>
                <w:szCs w:val="24"/>
              </w:rPr>
              <w:t>updated</w:t>
            </w:r>
            <w:r w:rsidRPr="004314C6">
              <w:rPr>
                <w:sz w:val="24"/>
                <w:szCs w:val="24"/>
              </w:rPr>
              <w:t xml:space="preserve"> to allow the assessor to </w:t>
            </w:r>
            <w:r>
              <w:rPr>
                <w:sz w:val="24"/>
                <w:szCs w:val="24"/>
              </w:rPr>
              <w:t>justify</w:t>
            </w:r>
            <w:r w:rsidRPr="004314C6">
              <w:rPr>
                <w:sz w:val="24"/>
                <w:szCs w:val="24"/>
              </w:rPr>
              <w:t xml:space="preserve"> </w:t>
            </w:r>
            <w:r>
              <w:rPr>
                <w:sz w:val="24"/>
                <w:szCs w:val="24"/>
              </w:rPr>
              <w:t>their evaluation and explain how</w:t>
            </w:r>
            <w:r w:rsidRPr="004314C6">
              <w:rPr>
                <w:sz w:val="24"/>
                <w:szCs w:val="24"/>
              </w:rPr>
              <w:t xml:space="preserve"> they intend to mitigate / manage the risks identified.</w:t>
            </w:r>
            <w:r w:rsidRPr="004314C6">
              <w:rPr>
                <w:b/>
                <w:bCs/>
                <w:sz w:val="24"/>
                <w:szCs w:val="24"/>
              </w:rPr>
              <w:t xml:space="preserve"> </w:t>
            </w:r>
          </w:p>
        </w:tc>
      </w:tr>
    </w:tbl>
    <w:p w14:paraId="182976BB" w14:textId="77777777" w:rsidR="0016727C" w:rsidRDefault="0016727C" w:rsidP="00FC7AD1">
      <w:pPr>
        <w:spacing w:after="120" w:line="360" w:lineRule="auto"/>
      </w:pPr>
    </w:p>
    <w:p w14:paraId="419D4073" w14:textId="77777777" w:rsidR="0016727C" w:rsidRPr="00150A25" w:rsidRDefault="0016727C" w:rsidP="00FC7AD1">
      <w:pPr>
        <w:spacing w:after="120" w:line="360" w:lineRule="auto"/>
        <w:rPr>
          <w:rFonts w:ascii="Calibri" w:hAnsi="Calibri" w:cs="Calibri"/>
          <w:i/>
          <w:iCs/>
          <w:sz w:val="24"/>
          <w:szCs w:val="24"/>
        </w:rPr>
      </w:pPr>
    </w:p>
    <w:sectPr w:rsidR="0016727C" w:rsidRPr="00150A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E85A" w14:textId="77777777" w:rsidR="00425557" w:rsidRDefault="00425557" w:rsidP="00425557">
      <w:pPr>
        <w:spacing w:after="0" w:line="240" w:lineRule="auto"/>
      </w:pPr>
      <w:r>
        <w:separator/>
      </w:r>
    </w:p>
  </w:endnote>
  <w:endnote w:type="continuationSeparator" w:id="0">
    <w:p w14:paraId="56D17A09" w14:textId="77777777" w:rsidR="00425557" w:rsidRDefault="00425557" w:rsidP="0042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363139"/>
      <w:docPartObj>
        <w:docPartGallery w:val="Page Numbers (Bottom of Page)"/>
        <w:docPartUnique/>
      </w:docPartObj>
    </w:sdtPr>
    <w:sdtEndPr>
      <w:rPr>
        <w:noProof/>
      </w:rPr>
    </w:sdtEndPr>
    <w:sdtContent>
      <w:p w14:paraId="0149DDAF" w14:textId="167084E5" w:rsidR="00425557" w:rsidRDefault="00425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25240" w14:textId="77777777" w:rsidR="00425557" w:rsidRDefault="0042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0277" w14:textId="77777777" w:rsidR="00425557" w:rsidRDefault="00425557" w:rsidP="00425557">
      <w:pPr>
        <w:spacing w:after="0" w:line="240" w:lineRule="auto"/>
      </w:pPr>
      <w:r>
        <w:separator/>
      </w:r>
    </w:p>
  </w:footnote>
  <w:footnote w:type="continuationSeparator" w:id="0">
    <w:p w14:paraId="783313AE" w14:textId="77777777" w:rsidR="00425557" w:rsidRDefault="00425557" w:rsidP="00425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1C6FA0"/>
    <w:multiLevelType w:val="hybridMultilevel"/>
    <w:tmpl w:val="37EA9620"/>
    <w:lvl w:ilvl="0" w:tplc="BD666B0A">
      <w:start w:val="1"/>
      <w:numFmt w:val="bullet"/>
      <w:lvlText w:val="•"/>
      <w:lvlJc w:val="left"/>
      <w:pPr>
        <w:tabs>
          <w:tab w:val="num" w:pos="720"/>
        </w:tabs>
        <w:ind w:left="720" w:hanging="360"/>
      </w:pPr>
      <w:rPr>
        <w:rFonts w:ascii="Arial" w:hAnsi="Arial" w:hint="default"/>
      </w:rPr>
    </w:lvl>
    <w:lvl w:ilvl="1" w:tplc="CC72A9C4" w:tentative="1">
      <w:start w:val="1"/>
      <w:numFmt w:val="bullet"/>
      <w:lvlText w:val="•"/>
      <w:lvlJc w:val="left"/>
      <w:pPr>
        <w:tabs>
          <w:tab w:val="num" w:pos="1440"/>
        </w:tabs>
        <w:ind w:left="1440" w:hanging="360"/>
      </w:pPr>
      <w:rPr>
        <w:rFonts w:ascii="Arial" w:hAnsi="Arial" w:hint="default"/>
      </w:rPr>
    </w:lvl>
    <w:lvl w:ilvl="2" w:tplc="679C5EE0" w:tentative="1">
      <w:start w:val="1"/>
      <w:numFmt w:val="bullet"/>
      <w:lvlText w:val="•"/>
      <w:lvlJc w:val="left"/>
      <w:pPr>
        <w:tabs>
          <w:tab w:val="num" w:pos="2160"/>
        </w:tabs>
        <w:ind w:left="2160" w:hanging="360"/>
      </w:pPr>
      <w:rPr>
        <w:rFonts w:ascii="Arial" w:hAnsi="Arial" w:hint="default"/>
      </w:rPr>
    </w:lvl>
    <w:lvl w:ilvl="3" w:tplc="4CD4E642" w:tentative="1">
      <w:start w:val="1"/>
      <w:numFmt w:val="bullet"/>
      <w:lvlText w:val="•"/>
      <w:lvlJc w:val="left"/>
      <w:pPr>
        <w:tabs>
          <w:tab w:val="num" w:pos="2880"/>
        </w:tabs>
        <w:ind w:left="2880" w:hanging="360"/>
      </w:pPr>
      <w:rPr>
        <w:rFonts w:ascii="Arial" w:hAnsi="Arial" w:hint="default"/>
      </w:rPr>
    </w:lvl>
    <w:lvl w:ilvl="4" w:tplc="EFC634F2" w:tentative="1">
      <w:start w:val="1"/>
      <w:numFmt w:val="bullet"/>
      <w:lvlText w:val="•"/>
      <w:lvlJc w:val="left"/>
      <w:pPr>
        <w:tabs>
          <w:tab w:val="num" w:pos="3600"/>
        </w:tabs>
        <w:ind w:left="3600" w:hanging="360"/>
      </w:pPr>
      <w:rPr>
        <w:rFonts w:ascii="Arial" w:hAnsi="Arial" w:hint="default"/>
      </w:rPr>
    </w:lvl>
    <w:lvl w:ilvl="5" w:tplc="A328BEFA" w:tentative="1">
      <w:start w:val="1"/>
      <w:numFmt w:val="bullet"/>
      <w:lvlText w:val="•"/>
      <w:lvlJc w:val="left"/>
      <w:pPr>
        <w:tabs>
          <w:tab w:val="num" w:pos="4320"/>
        </w:tabs>
        <w:ind w:left="4320" w:hanging="360"/>
      </w:pPr>
      <w:rPr>
        <w:rFonts w:ascii="Arial" w:hAnsi="Arial" w:hint="default"/>
      </w:rPr>
    </w:lvl>
    <w:lvl w:ilvl="6" w:tplc="FA36B68A" w:tentative="1">
      <w:start w:val="1"/>
      <w:numFmt w:val="bullet"/>
      <w:lvlText w:val="•"/>
      <w:lvlJc w:val="left"/>
      <w:pPr>
        <w:tabs>
          <w:tab w:val="num" w:pos="5040"/>
        </w:tabs>
        <w:ind w:left="5040" w:hanging="360"/>
      </w:pPr>
      <w:rPr>
        <w:rFonts w:ascii="Arial" w:hAnsi="Arial" w:hint="default"/>
      </w:rPr>
    </w:lvl>
    <w:lvl w:ilvl="7" w:tplc="7648410A" w:tentative="1">
      <w:start w:val="1"/>
      <w:numFmt w:val="bullet"/>
      <w:lvlText w:val="•"/>
      <w:lvlJc w:val="left"/>
      <w:pPr>
        <w:tabs>
          <w:tab w:val="num" w:pos="5760"/>
        </w:tabs>
        <w:ind w:left="5760" w:hanging="360"/>
      </w:pPr>
      <w:rPr>
        <w:rFonts w:ascii="Arial" w:hAnsi="Arial" w:hint="default"/>
      </w:rPr>
    </w:lvl>
    <w:lvl w:ilvl="8" w:tplc="AF4466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1D1F49"/>
    <w:multiLevelType w:val="hybridMultilevel"/>
    <w:tmpl w:val="6F161CD4"/>
    <w:lvl w:ilvl="0" w:tplc="50FAD588">
      <w:start w:val="4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7557B27"/>
    <w:multiLevelType w:val="multilevel"/>
    <w:tmpl w:val="8F4CEF0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71719"/>
    <w:multiLevelType w:val="multilevel"/>
    <w:tmpl w:val="8346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1A4EBB"/>
    <w:multiLevelType w:val="multilevel"/>
    <w:tmpl w:val="429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97047"/>
    <w:multiLevelType w:val="hybridMultilevel"/>
    <w:tmpl w:val="AC329A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2348A"/>
    <w:multiLevelType w:val="multilevel"/>
    <w:tmpl w:val="8346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10054"/>
    <w:multiLevelType w:val="hybridMultilevel"/>
    <w:tmpl w:val="940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61BBA"/>
    <w:multiLevelType w:val="hybridMultilevel"/>
    <w:tmpl w:val="B48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25F29"/>
    <w:multiLevelType w:val="hybridMultilevel"/>
    <w:tmpl w:val="F174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72760"/>
    <w:multiLevelType w:val="hybridMultilevel"/>
    <w:tmpl w:val="9EB06608"/>
    <w:lvl w:ilvl="0" w:tplc="DBD8A174">
      <w:start w:val="1"/>
      <w:numFmt w:val="bullet"/>
      <w:lvlText w:val="•"/>
      <w:lvlJc w:val="left"/>
      <w:pPr>
        <w:tabs>
          <w:tab w:val="num" w:pos="720"/>
        </w:tabs>
        <w:ind w:left="720" w:hanging="360"/>
      </w:pPr>
      <w:rPr>
        <w:rFonts w:ascii="Arial" w:hAnsi="Arial" w:hint="default"/>
      </w:rPr>
    </w:lvl>
    <w:lvl w:ilvl="1" w:tplc="7D8847CC" w:tentative="1">
      <w:start w:val="1"/>
      <w:numFmt w:val="bullet"/>
      <w:lvlText w:val="•"/>
      <w:lvlJc w:val="left"/>
      <w:pPr>
        <w:tabs>
          <w:tab w:val="num" w:pos="1440"/>
        </w:tabs>
        <w:ind w:left="1440" w:hanging="360"/>
      </w:pPr>
      <w:rPr>
        <w:rFonts w:ascii="Arial" w:hAnsi="Arial" w:hint="default"/>
      </w:rPr>
    </w:lvl>
    <w:lvl w:ilvl="2" w:tplc="B58C65A8" w:tentative="1">
      <w:start w:val="1"/>
      <w:numFmt w:val="bullet"/>
      <w:lvlText w:val="•"/>
      <w:lvlJc w:val="left"/>
      <w:pPr>
        <w:tabs>
          <w:tab w:val="num" w:pos="2160"/>
        </w:tabs>
        <w:ind w:left="2160" w:hanging="360"/>
      </w:pPr>
      <w:rPr>
        <w:rFonts w:ascii="Arial" w:hAnsi="Arial" w:hint="default"/>
      </w:rPr>
    </w:lvl>
    <w:lvl w:ilvl="3" w:tplc="4E7EC6E2" w:tentative="1">
      <w:start w:val="1"/>
      <w:numFmt w:val="bullet"/>
      <w:lvlText w:val="•"/>
      <w:lvlJc w:val="left"/>
      <w:pPr>
        <w:tabs>
          <w:tab w:val="num" w:pos="2880"/>
        </w:tabs>
        <w:ind w:left="2880" w:hanging="360"/>
      </w:pPr>
      <w:rPr>
        <w:rFonts w:ascii="Arial" w:hAnsi="Arial" w:hint="default"/>
      </w:rPr>
    </w:lvl>
    <w:lvl w:ilvl="4" w:tplc="82BC0292" w:tentative="1">
      <w:start w:val="1"/>
      <w:numFmt w:val="bullet"/>
      <w:lvlText w:val="•"/>
      <w:lvlJc w:val="left"/>
      <w:pPr>
        <w:tabs>
          <w:tab w:val="num" w:pos="3600"/>
        </w:tabs>
        <w:ind w:left="3600" w:hanging="360"/>
      </w:pPr>
      <w:rPr>
        <w:rFonts w:ascii="Arial" w:hAnsi="Arial" w:hint="default"/>
      </w:rPr>
    </w:lvl>
    <w:lvl w:ilvl="5" w:tplc="E38288D2" w:tentative="1">
      <w:start w:val="1"/>
      <w:numFmt w:val="bullet"/>
      <w:lvlText w:val="•"/>
      <w:lvlJc w:val="left"/>
      <w:pPr>
        <w:tabs>
          <w:tab w:val="num" w:pos="4320"/>
        </w:tabs>
        <w:ind w:left="4320" w:hanging="360"/>
      </w:pPr>
      <w:rPr>
        <w:rFonts w:ascii="Arial" w:hAnsi="Arial" w:hint="default"/>
      </w:rPr>
    </w:lvl>
    <w:lvl w:ilvl="6" w:tplc="800A79DE" w:tentative="1">
      <w:start w:val="1"/>
      <w:numFmt w:val="bullet"/>
      <w:lvlText w:val="•"/>
      <w:lvlJc w:val="left"/>
      <w:pPr>
        <w:tabs>
          <w:tab w:val="num" w:pos="5040"/>
        </w:tabs>
        <w:ind w:left="5040" w:hanging="360"/>
      </w:pPr>
      <w:rPr>
        <w:rFonts w:ascii="Arial" w:hAnsi="Arial" w:hint="default"/>
      </w:rPr>
    </w:lvl>
    <w:lvl w:ilvl="7" w:tplc="A51A503E" w:tentative="1">
      <w:start w:val="1"/>
      <w:numFmt w:val="bullet"/>
      <w:lvlText w:val="•"/>
      <w:lvlJc w:val="left"/>
      <w:pPr>
        <w:tabs>
          <w:tab w:val="num" w:pos="5760"/>
        </w:tabs>
        <w:ind w:left="5760" w:hanging="360"/>
      </w:pPr>
      <w:rPr>
        <w:rFonts w:ascii="Arial" w:hAnsi="Arial" w:hint="default"/>
      </w:rPr>
    </w:lvl>
    <w:lvl w:ilvl="8" w:tplc="F1E451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242A18"/>
    <w:multiLevelType w:val="hybridMultilevel"/>
    <w:tmpl w:val="8670FD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A0943"/>
    <w:multiLevelType w:val="hybridMultilevel"/>
    <w:tmpl w:val="1B8A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219A5"/>
    <w:multiLevelType w:val="hybridMultilevel"/>
    <w:tmpl w:val="4C14F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90DB9"/>
    <w:multiLevelType w:val="hybridMultilevel"/>
    <w:tmpl w:val="5560DA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25088"/>
    <w:multiLevelType w:val="hybridMultilevel"/>
    <w:tmpl w:val="942A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24643">
    <w:abstractNumId w:val="18"/>
  </w:num>
  <w:num w:numId="2" w16cid:durableId="561211856">
    <w:abstractNumId w:val="15"/>
  </w:num>
  <w:num w:numId="3" w16cid:durableId="397165905">
    <w:abstractNumId w:val="11"/>
  </w:num>
  <w:num w:numId="4" w16cid:durableId="1874923222">
    <w:abstractNumId w:val="5"/>
  </w:num>
  <w:num w:numId="5" w16cid:durableId="1261373495">
    <w:abstractNumId w:val="0"/>
  </w:num>
  <w:num w:numId="6" w16cid:durableId="1152910992">
    <w:abstractNumId w:val="1"/>
  </w:num>
  <w:num w:numId="7" w16cid:durableId="2128498291">
    <w:abstractNumId w:val="2"/>
  </w:num>
  <w:num w:numId="8" w16cid:durableId="1342585431">
    <w:abstractNumId w:val="3"/>
  </w:num>
  <w:num w:numId="9" w16cid:durableId="1589733623">
    <w:abstractNumId w:val="6"/>
  </w:num>
  <w:num w:numId="10" w16cid:durableId="111291981">
    <w:abstractNumId w:val="8"/>
  </w:num>
  <w:num w:numId="11" w16cid:durableId="1835535263">
    <w:abstractNumId w:val="9"/>
  </w:num>
  <w:num w:numId="12" w16cid:durableId="254092299">
    <w:abstractNumId w:val="19"/>
  </w:num>
  <w:num w:numId="13" w16cid:durableId="1890189693">
    <w:abstractNumId w:val="13"/>
  </w:num>
  <w:num w:numId="14" w16cid:durableId="267662104">
    <w:abstractNumId w:val="10"/>
    <w:lvlOverride w:ilvl="0">
      <w:startOverride w:val="3"/>
    </w:lvlOverride>
  </w:num>
  <w:num w:numId="15" w16cid:durableId="1027753953">
    <w:abstractNumId w:val="7"/>
  </w:num>
  <w:num w:numId="16" w16cid:durableId="932131213">
    <w:abstractNumId w:val="4"/>
  </w:num>
  <w:num w:numId="17" w16cid:durableId="990446009">
    <w:abstractNumId w:val="14"/>
  </w:num>
  <w:num w:numId="18" w16cid:durableId="1293899829">
    <w:abstractNumId w:val="17"/>
  </w:num>
  <w:num w:numId="19" w16cid:durableId="861632364">
    <w:abstractNumId w:val="12"/>
  </w:num>
  <w:num w:numId="20" w16cid:durableId="2745312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7C"/>
    <w:rsid w:val="0016727C"/>
    <w:rsid w:val="00425557"/>
    <w:rsid w:val="00535EC3"/>
    <w:rsid w:val="00C71F7B"/>
    <w:rsid w:val="00FC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DCF5"/>
  <w15:chartTrackingRefBased/>
  <w15:docId w15:val="{8027D156-3A06-4268-98BA-0E1A127F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7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7C"/>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6727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6727C"/>
    <w:rPr>
      <w:rFonts w:eastAsiaTheme="minorEastAsia"/>
      <w:kern w:val="0"/>
      <w:sz w:val="20"/>
      <w:szCs w:val="20"/>
      <w14:ligatures w14:val="none"/>
    </w:rPr>
  </w:style>
  <w:style w:type="paragraph" w:styleId="ListParagraph">
    <w:name w:val="List Paragraph"/>
    <w:basedOn w:val="Normal"/>
    <w:uiPriority w:val="34"/>
    <w:qFormat/>
    <w:rsid w:val="0016727C"/>
    <w:pPr>
      <w:spacing w:after="0" w:line="240" w:lineRule="auto"/>
      <w:ind w:left="720"/>
      <w:contextualSpacing/>
    </w:pPr>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16727C"/>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6727C"/>
    <w:rPr>
      <w:rFonts w:ascii="Lucida Grande" w:eastAsiaTheme="minorEastAsia" w:hAnsi="Lucida Grande" w:cs="Lucida Grande"/>
      <w:kern w:val="0"/>
      <w:sz w:val="18"/>
      <w:szCs w:val="18"/>
      <w14:ligatures w14:val="none"/>
    </w:rPr>
  </w:style>
  <w:style w:type="paragraph" w:styleId="NormalWeb">
    <w:name w:val="Normal (Web)"/>
    <w:basedOn w:val="Normal"/>
    <w:uiPriority w:val="99"/>
    <w:unhideWhenUsed/>
    <w:rsid w:val="00167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727C"/>
    <w:rPr>
      <w:sz w:val="16"/>
      <w:szCs w:val="16"/>
    </w:rPr>
  </w:style>
  <w:style w:type="paragraph" w:styleId="Header">
    <w:name w:val="header"/>
    <w:basedOn w:val="Normal"/>
    <w:link w:val="HeaderChar"/>
    <w:uiPriority w:val="99"/>
    <w:unhideWhenUsed/>
    <w:rsid w:val="0042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557"/>
    <w:rPr>
      <w:kern w:val="0"/>
      <w14:ligatures w14:val="none"/>
    </w:rPr>
  </w:style>
  <w:style w:type="paragraph" w:styleId="Footer">
    <w:name w:val="footer"/>
    <w:basedOn w:val="Normal"/>
    <w:link w:val="FooterChar"/>
    <w:uiPriority w:val="99"/>
    <w:unhideWhenUsed/>
    <w:rsid w:val="0042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55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7647</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Jakeman</dc:creator>
  <cp:keywords/>
  <dc:description/>
  <cp:lastModifiedBy>Anna Jakeman</cp:lastModifiedBy>
  <cp:revision>2</cp:revision>
  <dcterms:created xsi:type="dcterms:W3CDTF">2024-06-13T09:13:00Z</dcterms:created>
  <dcterms:modified xsi:type="dcterms:W3CDTF">2024-06-13T09:13:00Z</dcterms:modified>
</cp:coreProperties>
</file>